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D30E35">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D30E35">
            <w:pPr>
              <w:snapToGrid w:val="0"/>
              <w:ind w:right="252"/>
              <w:rPr>
                <w:rFonts w:ascii="Calibri" w:hAnsi="Calibri"/>
                <w:sz w:val="18"/>
              </w:rPr>
            </w:pPr>
            <w:r w:rsidRPr="0097037A">
              <w:rPr>
                <w:rFonts w:ascii="Calibri" w:hAnsi="Calibri"/>
                <w:sz w:val="18"/>
              </w:rPr>
              <w:t>numéro de répertoire</w:t>
            </w:r>
          </w:p>
          <w:p w:rsidR="002D50E6" w:rsidRPr="0097037A" w:rsidRDefault="002D50E6" w:rsidP="00D30E35">
            <w:pPr>
              <w:ind w:right="252"/>
              <w:rPr>
                <w:rFonts w:ascii="Calibri" w:hAnsi="Calibri"/>
                <w:sz w:val="16"/>
                <w:szCs w:val="16"/>
              </w:rPr>
            </w:pPr>
          </w:p>
          <w:p w:rsidR="002D50E6" w:rsidRPr="0097037A" w:rsidRDefault="005B7DC7" w:rsidP="00D30E35">
            <w:pPr>
              <w:rPr>
                <w:rFonts w:ascii="Calibri" w:hAnsi="Calibri"/>
                <w:b/>
                <w:bCs/>
              </w:rPr>
            </w:pPr>
            <w:r>
              <w:rPr>
                <w:rFonts w:ascii="Calibri" w:hAnsi="Calibri"/>
                <w:b/>
                <w:bCs/>
              </w:rPr>
              <w:t>2022</w:t>
            </w:r>
            <w:r w:rsidR="002D50E6" w:rsidRPr="0097037A">
              <w:rPr>
                <w:rFonts w:ascii="Calibri" w:hAnsi="Calibri"/>
                <w:b/>
                <w:bCs/>
              </w:rPr>
              <w:t>/</w:t>
            </w:r>
            <w:r w:rsidR="00C146FF">
              <w:rPr>
                <w:rFonts w:ascii="Calibri" w:hAnsi="Calibri"/>
                <w:b/>
                <w:bCs/>
              </w:rPr>
              <w:t>2555</w:t>
            </w:r>
          </w:p>
          <w:p w:rsidR="002D50E6" w:rsidRPr="0097037A" w:rsidRDefault="002D50E6" w:rsidP="00D30E35">
            <w:pPr>
              <w:rPr>
                <w:rFonts w:ascii="Calibri" w:hAnsi="Calibri"/>
                <w:sz w:val="16"/>
                <w:szCs w:val="16"/>
              </w:rPr>
            </w:pPr>
          </w:p>
        </w:tc>
      </w:tr>
      <w:tr w:rsidR="002D50E6" w:rsidRPr="0063600A" w:rsidTr="00D30E35">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D30E35">
            <w:pPr>
              <w:snapToGrid w:val="0"/>
              <w:ind w:right="252"/>
              <w:rPr>
                <w:rFonts w:ascii="Calibri" w:hAnsi="Calibri"/>
                <w:sz w:val="18"/>
              </w:rPr>
            </w:pPr>
            <w:r>
              <w:rPr>
                <w:rFonts w:ascii="Calibri" w:hAnsi="Calibri"/>
                <w:sz w:val="18"/>
              </w:rPr>
              <w:t>date du jugement</w:t>
            </w:r>
          </w:p>
          <w:p w:rsidR="002D50E6" w:rsidRPr="0097037A" w:rsidRDefault="002D50E6" w:rsidP="00D30E35">
            <w:pPr>
              <w:rPr>
                <w:rFonts w:ascii="Calibri" w:hAnsi="Calibri"/>
                <w:b/>
              </w:rPr>
            </w:pPr>
          </w:p>
          <w:p w:rsidR="002D50E6" w:rsidRPr="0097037A" w:rsidRDefault="00173794" w:rsidP="00D30E35">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2-22T00:00:00Z">
                  <w:dateFormat w:val="dd/MM/yyyy"/>
                  <w:lid w:val="fr-BE"/>
                  <w:storeMappedDataAs w:val="dateTime"/>
                  <w:calendar w:val="gregorian"/>
                </w:date>
              </w:sdtPr>
              <w:sdtEndPr/>
              <w:sdtContent>
                <w:r w:rsidR="00854595">
                  <w:rPr>
                    <w:rFonts w:asciiTheme="minorHAnsi" w:hAnsiTheme="minorHAnsi" w:cstheme="minorHAnsi"/>
                    <w:b/>
                    <w:sz w:val="32"/>
                    <w:szCs w:val="32"/>
                    <w:u w:val="single"/>
                  </w:rPr>
                  <w:t>22/02/2022</w:t>
                </w:r>
              </w:sdtContent>
            </w:sdt>
            <w:r w:rsidR="00F30CB5" w:rsidRPr="0097037A">
              <w:rPr>
                <w:rFonts w:ascii="Calibri" w:hAnsi="Calibri"/>
                <w:b/>
              </w:rPr>
              <w:t xml:space="preserve"> </w:t>
            </w:r>
          </w:p>
          <w:p w:rsidR="002D50E6" w:rsidRPr="0097037A" w:rsidRDefault="002D50E6" w:rsidP="00D30E35">
            <w:pPr>
              <w:rPr>
                <w:rFonts w:ascii="Calibri" w:hAnsi="Calibri"/>
                <w:sz w:val="16"/>
                <w:szCs w:val="16"/>
              </w:rPr>
            </w:pPr>
          </w:p>
        </w:tc>
      </w:tr>
      <w:tr w:rsidR="002D50E6" w:rsidRPr="0097037A" w:rsidTr="00D30E35">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D30E35">
            <w:pPr>
              <w:snapToGrid w:val="0"/>
              <w:ind w:right="252"/>
              <w:rPr>
                <w:rFonts w:ascii="Calibri" w:hAnsi="Calibri"/>
                <w:sz w:val="18"/>
              </w:rPr>
            </w:pPr>
            <w:r w:rsidRPr="0097037A">
              <w:rPr>
                <w:rFonts w:ascii="Calibri" w:hAnsi="Calibri"/>
                <w:sz w:val="18"/>
              </w:rPr>
              <w:t>numéro de rôle</w:t>
            </w:r>
          </w:p>
          <w:p w:rsidR="002D50E6" w:rsidRPr="004D4CC3" w:rsidRDefault="002D50E6" w:rsidP="00D30E35">
            <w:pPr>
              <w:ind w:right="252"/>
              <w:rPr>
                <w:rFonts w:ascii="Calibri" w:hAnsi="Calibri"/>
                <w:sz w:val="18"/>
                <w:szCs w:val="18"/>
              </w:rPr>
            </w:pPr>
          </w:p>
          <w:p w:rsidR="002D50E6" w:rsidRPr="00854595" w:rsidRDefault="002D50E6" w:rsidP="00D30E35">
            <w:pPr>
              <w:rPr>
                <w:rFonts w:ascii="Calibri" w:hAnsi="Calibri"/>
                <w:b/>
                <w:sz w:val="20"/>
                <w:szCs w:val="20"/>
              </w:rPr>
            </w:pPr>
            <w:r w:rsidRPr="00854595">
              <w:rPr>
                <w:rFonts w:ascii="Calibri" w:hAnsi="Calibri" w:cs="Calibri"/>
                <w:b/>
                <w:bCs/>
                <w:sz w:val="20"/>
                <w:szCs w:val="20"/>
                <w:lang w:val="fr-FR"/>
              </w:rPr>
              <w:t>R.G. : 20/ 2601/ A</w:t>
            </w:r>
            <w:r w:rsidRPr="00854595">
              <w:rPr>
                <w:rFonts w:ascii="Calibri" w:hAnsi="Calibri"/>
                <w:b/>
                <w:sz w:val="20"/>
                <w:szCs w:val="20"/>
              </w:rPr>
              <w:t xml:space="preserve"> </w:t>
            </w:r>
          </w:p>
          <w:p w:rsidR="00854595" w:rsidRPr="00854595" w:rsidRDefault="00854595" w:rsidP="00D30E35">
            <w:pPr>
              <w:rPr>
                <w:rFonts w:ascii="Calibri" w:hAnsi="Calibri"/>
                <w:b/>
                <w:caps/>
                <w:sz w:val="20"/>
                <w:szCs w:val="20"/>
              </w:rPr>
            </w:pPr>
            <w:r>
              <w:rPr>
                <w:rFonts w:ascii="Calibri" w:hAnsi="Calibri"/>
                <w:b/>
                <w:sz w:val="20"/>
                <w:szCs w:val="20"/>
              </w:rPr>
              <w:t xml:space="preserve">R.G. : 20/ 2904/ </w:t>
            </w:r>
            <w:r>
              <w:rPr>
                <w:rFonts w:ascii="Calibri" w:hAnsi="Calibri"/>
                <w:b/>
                <w:caps/>
                <w:sz w:val="20"/>
                <w:szCs w:val="20"/>
              </w:rPr>
              <w:t>A</w:t>
            </w:r>
          </w:p>
          <w:p w:rsidR="002D50E6" w:rsidRPr="0097037A" w:rsidRDefault="002D50E6" w:rsidP="00D30E35">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D30E35">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173794">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173794">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173794">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173794">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173794">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17379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173794">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D30E35">
        <w:tc>
          <w:tcPr>
            <w:tcW w:w="389" w:type="dxa"/>
            <w:vAlign w:val="center"/>
          </w:tcPr>
          <w:p w:rsidR="002D50E6" w:rsidRPr="0097037A" w:rsidRDefault="002D50E6" w:rsidP="00D30E35">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D30E35">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854595" w:rsidP="00BB2F46">
            <w:pPr>
              <w:rPr>
                <w:rFonts w:ascii="Calibri" w:hAnsi="Calibri"/>
                <w:sz w:val="36"/>
                <w:szCs w:val="36"/>
              </w:rPr>
            </w:pPr>
            <w:r>
              <w:rPr>
                <w:rFonts w:ascii="Calibri" w:hAnsi="Calibri" w:cs="Calibri"/>
                <w:b/>
                <w:sz w:val="32"/>
                <w:szCs w:val="32"/>
                <w:u w:val="single"/>
              </w:rPr>
              <w:t>Huitième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8A2294" w:rsidRDefault="008A2294" w:rsidP="00AF4830">
      <w:pPr>
        <w:rPr>
          <w:rFonts w:asciiTheme="minorHAnsi" w:hAnsiTheme="minorHAnsi" w:cstheme="minorHAnsi"/>
          <w:b/>
          <w:bCs/>
          <w:color w:val="000000" w:themeColor="text1"/>
          <w:sz w:val="22"/>
          <w:szCs w:val="22"/>
          <w:lang w:bidi="fr-BE"/>
        </w:rPr>
      </w:pPr>
      <w:bookmarkStart w:id="0" w:name="defendeur"/>
      <w:bookmarkStart w:id="1" w:name="niveau"/>
      <w:r>
        <w:rPr>
          <w:rFonts w:asciiTheme="minorHAnsi" w:hAnsiTheme="minorHAnsi" w:cstheme="minorHAnsi"/>
          <w:b/>
          <w:bCs/>
          <w:color w:val="000000" w:themeColor="text1"/>
          <w:sz w:val="22"/>
          <w:szCs w:val="22"/>
          <w:u w:val="single"/>
          <w:lang w:val="fr-FR" w:bidi="fr-BE"/>
        </w:rPr>
        <w:lastRenderedPageBreak/>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8A2294" w:rsidRDefault="008A2294" w:rsidP="00AF4830">
      <w:pPr>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rsidR="008A2294" w:rsidRDefault="00854595" w:rsidP="00854595">
      <w:pPr>
        <w:widowControl/>
        <w:ind w:left="1365"/>
        <w:jc w:val="both"/>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Madame</w:t>
      </w:r>
      <w:r w:rsidR="00AF4830">
        <w:rPr>
          <w:rFonts w:asciiTheme="minorHAnsi" w:eastAsia="Arial" w:hAnsiTheme="minorHAnsi" w:cstheme="minorHAnsi"/>
          <w:b/>
          <w:bCs/>
          <w:color w:val="000000" w:themeColor="text1"/>
          <w:sz w:val="22"/>
          <w:szCs w:val="22"/>
          <w:lang w:bidi="fr-BE"/>
        </w:rPr>
        <w:t xml:space="preserve"> </w:t>
      </w:r>
      <w:r w:rsidR="00173794">
        <w:rPr>
          <w:rFonts w:asciiTheme="minorHAnsi" w:eastAsia="Arial" w:hAnsiTheme="minorHAnsi" w:cstheme="minorHAnsi"/>
          <w:b/>
          <w:bCs/>
          <w:color w:val="000000" w:themeColor="text1"/>
          <w:sz w:val="22"/>
          <w:szCs w:val="22"/>
          <w:lang w:bidi="fr-BE"/>
        </w:rPr>
        <w:t>B</w:t>
      </w:r>
      <w:r w:rsidR="008A2294">
        <w:rPr>
          <w:rFonts w:asciiTheme="minorHAnsi" w:eastAsia="Arial" w:hAnsiTheme="minorHAnsi" w:cstheme="minorHAnsi"/>
          <w:b/>
          <w:bCs/>
          <w:color w:val="000000" w:themeColor="text1"/>
          <w:sz w:val="22"/>
          <w:szCs w:val="22"/>
          <w:lang w:bidi="fr-BE"/>
        </w:rPr>
        <w:t xml:space="preserve"> , </w:t>
      </w:r>
      <w:r w:rsidR="008A2294">
        <w:rPr>
          <w:rFonts w:asciiTheme="minorHAnsi" w:eastAsia="Arial" w:hAnsiTheme="minorHAnsi" w:cstheme="minorHAnsi"/>
          <w:color w:val="000000" w:themeColor="text1"/>
          <w:sz w:val="22"/>
          <w:szCs w:val="22"/>
          <w:lang w:bidi="fr-BE"/>
        </w:rPr>
        <w:t xml:space="preserve">RN: </w:t>
      </w:r>
      <w:r w:rsidR="00173794">
        <w:rPr>
          <w:rFonts w:asciiTheme="minorHAnsi" w:eastAsia="Arial" w:hAnsiTheme="minorHAnsi" w:cstheme="minorHAnsi"/>
          <w:color w:val="000000" w:themeColor="text1"/>
          <w:sz w:val="22"/>
          <w:szCs w:val="22"/>
          <w:lang w:bidi="fr-BE"/>
        </w:rPr>
        <w:t>………</w:t>
      </w:r>
      <w:r w:rsidR="008A2294">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domiciliée </w:t>
      </w:r>
      <w:r w:rsidR="008A2294">
        <w:rPr>
          <w:rFonts w:asciiTheme="minorHAnsi" w:eastAsia="Arial" w:hAnsiTheme="minorHAnsi" w:cstheme="minorHAnsi"/>
          <w:color w:val="000000" w:themeColor="text1"/>
          <w:sz w:val="22"/>
          <w:szCs w:val="22"/>
          <w:lang w:bidi="fr-BE"/>
        </w:rPr>
        <w:t>rue</w:t>
      </w:r>
      <w:r>
        <w:rPr>
          <w:rFonts w:asciiTheme="minorHAnsi" w:eastAsia="Arial" w:hAnsiTheme="minorHAnsi" w:cstheme="minorHAnsi"/>
          <w:color w:val="000000" w:themeColor="text1"/>
          <w:sz w:val="22"/>
          <w:szCs w:val="22"/>
          <w:lang w:bidi="fr-BE"/>
        </w:rPr>
        <w:t xml:space="preserve"> </w:t>
      </w:r>
      <w:r w:rsidR="00173794">
        <w:rPr>
          <w:rFonts w:asciiTheme="minorHAnsi" w:eastAsia="Arial" w:hAnsiTheme="minorHAnsi" w:cstheme="minorHAnsi"/>
          <w:color w:val="000000" w:themeColor="text1"/>
          <w:sz w:val="22"/>
          <w:szCs w:val="22"/>
          <w:lang w:bidi="fr-BE"/>
        </w:rPr>
        <w:t>………</w:t>
      </w:r>
    </w:p>
    <w:p w:rsidR="008A2294" w:rsidRDefault="008A2294" w:rsidP="008A2294">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rsidR="008A2294" w:rsidRDefault="008A2294" w:rsidP="008A2294">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p>
    <w:p w:rsidR="00D30E35" w:rsidRPr="00D30E35" w:rsidRDefault="00D30E35" w:rsidP="00D30E35">
      <w:pPr>
        <w:ind w:left="1365"/>
        <w:jc w:val="both"/>
        <w:rPr>
          <w:rFonts w:asciiTheme="minorHAnsi" w:eastAsia="Arial" w:hAnsiTheme="minorHAnsi" w:cstheme="minorHAnsi"/>
          <w:sz w:val="22"/>
          <w:szCs w:val="22"/>
          <w:lang w:bidi="fr-BE"/>
        </w:rPr>
      </w:pPr>
      <w:bookmarkStart w:id="3" w:name="demavoc"/>
      <w:r w:rsidRPr="00D30E35">
        <w:rPr>
          <w:rFonts w:asciiTheme="minorHAnsi" w:eastAsia="Arial" w:hAnsiTheme="minorHAnsi" w:cstheme="minorHAnsi"/>
          <w:sz w:val="22"/>
          <w:szCs w:val="22"/>
          <w:lang w:bidi="fr-BE"/>
        </w:rPr>
        <w:t xml:space="preserve">ayant comparu par son organisation syndicale, la CSC Liège-Huy-Waremme, Service juridique, dont les bureaux sont établis à </w:t>
      </w:r>
      <w:r w:rsidRPr="00D30E35">
        <w:rPr>
          <w:rFonts w:asciiTheme="minorHAnsi" w:eastAsia="Arial" w:hAnsiTheme="minorHAnsi" w:cstheme="minorHAnsi"/>
          <w:caps/>
          <w:sz w:val="22"/>
          <w:szCs w:val="22"/>
          <w:lang w:bidi="fr-BE"/>
        </w:rPr>
        <w:t>Liège</w:t>
      </w:r>
      <w:r w:rsidRPr="00D30E35">
        <w:rPr>
          <w:rFonts w:asciiTheme="minorHAnsi" w:eastAsia="Arial" w:hAnsiTheme="minorHAnsi" w:cstheme="minorHAnsi"/>
          <w:sz w:val="22"/>
          <w:szCs w:val="22"/>
          <w:lang w:bidi="fr-BE"/>
        </w:rPr>
        <w:t xml:space="preserve">, rue </w:t>
      </w:r>
      <w:proofErr w:type="spellStart"/>
      <w:r w:rsidRPr="00D30E35">
        <w:rPr>
          <w:rFonts w:asciiTheme="minorHAnsi" w:eastAsia="Arial" w:hAnsiTheme="minorHAnsi" w:cstheme="minorHAnsi"/>
          <w:sz w:val="22"/>
          <w:szCs w:val="22"/>
          <w:lang w:bidi="fr-BE"/>
        </w:rPr>
        <w:t>Saucy</w:t>
      </w:r>
      <w:proofErr w:type="spellEnd"/>
      <w:r w:rsidRPr="00D30E35">
        <w:rPr>
          <w:rFonts w:asciiTheme="minorHAnsi" w:eastAsia="Arial" w:hAnsiTheme="minorHAnsi" w:cstheme="minorHAnsi"/>
          <w:sz w:val="22"/>
          <w:szCs w:val="22"/>
          <w:lang w:bidi="fr-BE"/>
        </w:rPr>
        <w:t xml:space="preserve">, 10 en la personne de Madame </w:t>
      </w:r>
      <w:r>
        <w:rPr>
          <w:rFonts w:asciiTheme="minorHAnsi" w:eastAsia="Arial" w:hAnsiTheme="minorHAnsi" w:cstheme="minorHAnsi"/>
          <w:sz w:val="22"/>
          <w:szCs w:val="22"/>
          <w:lang w:bidi="fr-BE"/>
        </w:rPr>
        <w:t>MARTINEZ Amélia</w:t>
      </w:r>
      <w:r w:rsidRPr="00D30E35">
        <w:rPr>
          <w:rFonts w:asciiTheme="minorHAnsi" w:eastAsia="Arial" w:hAnsiTheme="minorHAnsi" w:cstheme="minorHAnsi"/>
          <w:sz w:val="22"/>
          <w:szCs w:val="22"/>
          <w:lang w:bidi="fr-BE"/>
        </w:rPr>
        <w:t>, déléguée et porteuse d’une procuration écrite (article 728 du Code judiciaire)</w:t>
      </w:r>
    </w:p>
    <w:p w:rsidR="008A2294" w:rsidRDefault="008A2294" w:rsidP="008A2294">
      <w:pPr>
        <w:widowControl/>
        <w:ind w:left="1365"/>
        <w:rPr>
          <w:rFonts w:asciiTheme="minorHAnsi" w:eastAsia="Arial" w:hAnsiTheme="minorHAnsi" w:cstheme="minorHAnsi"/>
          <w:sz w:val="22"/>
          <w:szCs w:val="22"/>
          <w:lang w:bidi="fr-BE"/>
        </w:rPr>
      </w:pPr>
    </w:p>
    <w:bookmarkEnd w:id="3"/>
    <w:bookmarkEnd w:id="2"/>
    <w:p w:rsidR="008A2294" w:rsidRDefault="008A2294" w:rsidP="008A2294">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r w:rsidRPr="00D30E35">
        <w:rPr>
          <w:rFonts w:asciiTheme="minorHAnsi" w:eastAsia="Arial" w:hAnsiTheme="minorHAnsi" w:cstheme="minorHAnsi"/>
          <w:b/>
          <w:color w:val="000000" w:themeColor="text1"/>
          <w:sz w:val="22"/>
          <w:szCs w:val="22"/>
          <w:lang w:bidi="fr-BE"/>
        </w:rPr>
        <w:t>:</w:t>
      </w:r>
    </w:p>
    <w:p w:rsidR="005B5D9D" w:rsidRDefault="005B5D9D" w:rsidP="008A2294">
      <w:pPr>
        <w:widowControl/>
        <w:jc w:val="both"/>
        <w:rPr>
          <w:rFonts w:asciiTheme="minorHAnsi" w:eastAsia="Arial" w:hAnsiTheme="minorHAnsi" w:cstheme="minorHAnsi"/>
          <w:b/>
          <w:color w:val="000000" w:themeColor="text1"/>
          <w:sz w:val="22"/>
          <w:szCs w:val="22"/>
          <w:u w:val="single"/>
          <w:lang w:bidi="fr-BE"/>
        </w:rPr>
      </w:pPr>
    </w:p>
    <w:p w:rsidR="00D30E35" w:rsidRPr="00D30E35" w:rsidRDefault="00D30E35" w:rsidP="00D30E35">
      <w:pPr>
        <w:ind w:left="1418"/>
        <w:jc w:val="both"/>
        <w:rPr>
          <w:rFonts w:asciiTheme="minorHAnsi" w:eastAsia="Arial" w:hAnsiTheme="minorHAnsi" w:cstheme="minorHAnsi"/>
          <w:color w:val="000000" w:themeColor="text1"/>
          <w:sz w:val="22"/>
          <w:szCs w:val="22"/>
          <w:lang w:bidi="fr-BE"/>
        </w:rPr>
      </w:pPr>
      <w:r w:rsidRPr="00D30E35">
        <w:rPr>
          <w:rFonts w:asciiTheme="minorHAnsi" w:eastAsia="Arial" w:hAnsiTheme="minorHAnsi" w:cstheme="minorHAnsi"/>
          <w:b/>
          <w:bCs/>
          <w:color w:val="000000" w:themeColor="text1"/>
          <w:sz w:val="22"/>
          <w:szCs w:val="22"/>
          <w:lang w:bidi="fr-BE"/>
        </w:rPr>
        <w:t xml:space="preserve">L’OFFICE NATIONAL DE L’EMPLOI, en abrégé </w:t>
      </w:r>
      <w:proofErr w:type="spellStart"/>
      <w:r w:rsidRPr="00D30E35">
        <w:rPr>
          <w:rFonts w:asciiTheme="minorHAnsi" w:eastAsia="Arial" w:hAnsiTheme="minorHAnsi" w:cstheme="minorHAnsi"/>
          <w:b/>
          <w:bCs/>
          <w:color w:val="000000" w:themeColor="text1"/>
          <w:sz w:val="22"/>
          <w:szCs w:val="22"/>
          <w:lang w:bidi="fr-BE"/>
        </w:rPr>
        <w:t>ONEm</w:t>
      </w:r>
      <w:proofErr w:type="spellEnd"/>
      <w:r w:rsidRPr="00D30E35">
        <w:rPr>
          <w:rFonts w:asciiTheme="minorHAnsi" w:eastAsia="Arial" w:hAnsiTheme="minorHAnsi" w:cstheme="minorHAnsi"/>
          <w:sz w:val="22"/>
          <w:szCs w:val="22"/>
          <w:lang w:val="fr-FR" w:bidi="fr-BE"/>
        </w:rPr>
        <w:t>,</w:t>
      </w:r>
      <w:r w:rsidRPr="00D30E35">
        <w:rPr>
          <w:rFonts w:asciiTheme="minorHAnsi" w:eastAsia="Arial" w:hAnsiTheme="minorHAnsi" w:cstheme="minorHAnsi"/>
          <w:color w:val="0000FF"/>
          <w:sz w:val="22"/>
          <w:szCs w:val="22"/>
          <w:lang w:val="fr-FR" w:bidi="fr-BE"/>
        </w:rPr>
        <w:t xml:space="preserve"> </w:t>
      </w:r>
      <w:r w:rsidRPr="00D30E35">
        <w:rPr>
          <w:rFonts w:asciiTheme="minorHAnsi" w:eastAsia="Arial" w:hAnsiTheme="minorHAnsi" w:cstheme="minorHAnsi"/>
          <w:bCs/>
          <w:color w:val="000000" w:themeColor="text1"/>
          <w:sz w:val="22"/>
          <w:szCs w:val="22"/>
          <w:lang w:bidi="fr-BE"/>
        </w:rPr>
        <w:t>BCE 0206.737.484</w:t>
      </w:r>
      <w:r w:rsidRPr="00D30E35">
        <w:rPr>
          <w:rFonts w:asciiTheme="minorHAnsi" w:eastAsia="Arial" w:hAnsiTheme="minorHAnsi" w:cstheme="minorHAnsi"/>
          <w:sz w:val="22"/>
          <w:szCs w:val="22"/>
          <w:lang w:val="fr-FR" w:bidi="fr-BE"/>
        </w:rPr>
        <w:t xml:space="preserve">, dont le siège social est établi </w:t>
      </w:r>
      <w:r w:rsidRPr="00D30E35">
        <w:rPr>
          <w:rFonts w:asciiTheme="minorHAnsi" w:eastAsia="Arial" w:hAnsiTheme="minorHAnsi" w:cstheme="minorHAnsi"/>
          <w:color w:val="000000" w:themeColor="text1"/>
          <w:sz w:val="22"/>
          <w:szCs w:val="22"/>
          <w:lang w:bidi="fr-BE"/>
        </w:rPr>
        <w:t xml:space="preserve">Boulevard de L'Empereur 7 à 1000 BRUXELLES </w:t>
      </w:r>
    </w:p>
    <w:p w:rsidR="00D30E35" w:rsidRDefault="00D30E35" w:rsidP="008A2294">
      <w:pPr>
        <w:widowControl/>
        <w:ind w:left="1418"/>
        <w:jc w:val="both"/>
        <w:rPr>
          <w:rFonts w:asciiTheme="minorHAnsi" w:eastAsia="Arial" w:hAnsiTheme="minorHAnsi" w:cstheme="minorHAnsi"/>
          <w:b/>
          <w:bCs/>
          <w:color w:val="000000" w:themeColor="text1"/>
          <w:sz w:val="22"/>
          <w:szCs w:val="22"/>
          <w:lang w:bidi="fr-BE"/>
        </w:rPr>
      </w:pPr>
    </w:p>
    <w:p w:rsidR="008A2294" w:rsidRDefault="008A2294" w:rsidP="008A2294">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p>
    <w:p w:rsidR="004420CB" w:rsidRDefault="008A2294" w:rsidP="00D30E35">
      <w:pPr>
        <w:widowControl/>
        <w:ind w:left="1418"/>
        <w:jc w:val="both"/>
        <w:rPr>
          <w:rFonts w:asciiTheme="minorHAnsi" w:eastAsia="Arial" w:hAnsiTheme="minorHAnsi" w:cstheme="minorHAnsi"/>
          <w:color w:val="000000" w:themeColor="text1"/>
          <w:sz w:val="16"/>
          <w:szCs w:val="16"/>
          <w:lang w:bidi="fr-BE"/>
        </w:rPr>
      </w:pPr>
      <w:bookmarkStart w:id="4" w:name="defavoc"/>
      <w:r>
        <w:rPr>
          <w:rFonts w:asciiTheme="minorHAnsi" w:eastAsia="Arial" w:hAnsiTheme="minorHAnsi" w:cstheme="minorHAnsi"/>
          <w:sz w:val="22"/>
          <w:szCs w:val="22"/>
          <w:lang w:bidi="fr-BE"/>
        </w:rPr>
        <w:t xml:space="preserve">ayant </w:t>
      </w:r>
      <w:r w:rsidR="00D30E35">
        <w:rPr>
          <w:rFonts w:asciiTheme="minorHAnsi" w:eastAsia="Arial" w:hAnsiTheme="minorHAnsi" w:cstheme="minorHAnsi"/>
          <w:sz w:val="22"/>
          <w:szCs w:val="22"/>
          <w:lang w:bidi="fr-BE"/>
        </w:rPr>
        <w:t xml:space="preserve">comparu par Maître THERER Éric, avocat, substituant </w:t>
      </w:r>
      <w:r>
        <w:rPr>
          <w:rFonts w:asciiTheme="minorHAnsi" w:eastAsia="Arial" w:hAnsiTheme="minorHAnsi" w:cstheme="minorHAnsi"/>
          <w:sz w:val="22"/>
          <w:szCs w:val="22"/>
          <w:lang w:bidi="fr-BE"/>
        </w:rPr>
        <w:t xml:space="preserve">Maître BAUDINET </w:t>
      </w:r>
      <w:r w:rsidR="00D30E35">
        <w:rPr>
          <w:rFonts w:asciiTheme="minorHAnsi" w:eastAsia="Arial" w:hAnsiTheme="minorHAnsi" w:cstheme="minorHAnsi"/>
          <w:sz w:val="22"/>
          <w:szCs w:val="22"/>
          <w:lang w:bidi="fr-BE"/>
        </w:rPr>
        <w:t>Pierre</w:t>
      </w:r>
      <w:r>
        <w:rPr>
          <w:rFonts w:asciiTheme="minorHAnsi" w:eastAsia="Arial" w:hAnsiTheme="minorHAnsi" w:cstheme="minorHAnsi"/>
          <w:sz w:val="22"/>
          <w:szCs w:val="22"/>
          <w:lang w:bidi="fr-BE"/>
        </w:rPr>
        <w:t>, avocat, à 4460 BIERSET, Liège Airport - Bât. B58</w:t>
      </w:r>
      <w:bookmarkEnd w:id="4"/>
    </w:p>
    <w:bookmarkEnd w:id="0"/>
    <w:p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1"/>
    <w:p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rsidR="00D30E35" w:rsidRDefault="00D30E35" w:rsidP="00D30E35">
      <w:pPr>
        <w:pStyle w:val="Textebrut"/>
        <w:pBdr>
          <w:top w:val="single" w:sz="4" w:space="1" w:color="auto"/>
        </w:pBdr>
        <w:tabs>
          <w:tab w:val="left" w:pos="1843"/>
        </w:tabs>
        <w:jc w:val="both"/>
        <w:rPr>
          <w:rFonts w:asciiTheme="minorHAnsi" w:hAnsiTheme="minorHAnsi" w:cstheme="minorHAnsi"/>
          <w:b/>
          <w:sz w:val="24"/>
          <w:szCs w:val="24"/>
          <w:u w:val="single"/>
        </w:rPr>
      </w:pPr>
    </w:p>
    <w:p w:rsidR="00D30E35" w:rsidRDefault="00D30E35" w:rsidP="00D30E35">
      <w:pPr>
        <w:pBdr>
          <w:top w:val="single" w:sz="4" w:space="1" w:color="auto"/>
          <w:left w:val="single" w:sz="4" w:space="4" w:color="auto"/>
          <w:bottom w:val="single" w:sz="4" w:space="1" w:color="auto"/>
          <w:right w:val="single" w:sz="4" w:space="4" w:color="auto"/>
        </w:pBdr>
        <w:tabs>
          <w:tab w:val="left" w:pos="426"/>
        </w:tabs>
        <w:rPr>
          <w:rFonts w:ascii="Calibri" w:eastAsia="Times New Roman" w:hAnsi="Calibri" w:cs="Calibri"/>
          <w:b/>
          <w:kern w:val="0"/>
          <w:sz w:val="22"/>
          <w:szCs w:val="22"/>
        </w:rPr>
      </w:pPr>
      <w:r>
        <w:rPr>
          <w:rFonts w:ascii="Calibri" w:eastAsia="Times New Roman" w:hAnsi="Calibri" w:cs="Calibri"/>
          <w:b/>
          <w:sz w:val="22"/>
          <w:szCs w:val="22"/>
        </w:rPr>
        <w:t>I.</w:t>
      </w:r>
      <w:r>
        <w:rPr>
          <w:rFonts w:ascii="Calibri" w:eastAsia="Times New Roman" w:hAnsi="Calibri" w:cs="Calibri"/>
          <w:b/>
          <w:sz w:val="22"/>
          <w:szCs w:val="22"/>
        </w:rPr>
        <w:tab/>
        <w:t>PROCÉDURE</w:t>
      </w:r>
    </w:p>
    <w:p w:rsidR="0091131E" w:rsidRPr="008A5ACB" w:rsidRDefault="0091131E" w:rsidP="00AE343D">
      <w:pPr>
        <w:pStyle w:val="Textebrut"/>
        <w:tabs>
          <w:tab w:val="left" w:pos="1843"/>
        </w:tabs>
        <w:jc w:val="both"/>
        <w:rPr>
          <w:rFonts w:asciiTheme="minorHAnsi" w:hAnsiTheme="minorHAnsi" w:cstheme="minorHAnsi"/>
          <w:sz w:val="22"/>
          <w:szCs w:val="22"/>
        </w:rPr>
      </w:pPr>
    </w:p>
    <w:p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91131E" w:rsidRPr="008A5ACB" w:rsidRDefault="0091131E" w:rsidP="00AE343D">
      <w:pPr>
        <w:pStyle w:val="Textebrut"/>
        <w:tabs>
          <w:tab w:val="left" w:pos="1843"/>
        </w:tabs>
        <w:jc w:val="both"/>
        <w:rPr>
          <w:rFonts w:asciiTheme="minorHAnsi" w:hAnsiTheme="minorHAnsi" w:cstheme="minorHAnsi"/>
          <w:sz w:val="22"/>
          <w:szCs w:val="22"/>
          <w:lang w:val="fr-FR"/>
        </w:rPr>
      </w:pPr>
    </w:p>
    <w:p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A56F5A"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w:t>
      </w:r>
      <w:r w:rsidR="00CA0AE0" w:rsidRPr="008A5ACB">
        <w:rPr>
          <w:rFonts w:asciiTheme="minorHAnsi" w:eastAsia="Times New Roman" w:hAnsiTheme="minorHAnsi" w:cstheme="minorHAnsi"/>
          <w:kern w:val="0"/>
          <w:sz w:val="22"/>
          <w:szCs w:val="22"/>
          <w:lang w:val="fr-FR" w:eastAsia="en-US"/>
        </w:rPr>
        <w:t xml:space="preserve"> et s</w:t>
      </w:r>
      <w:r w:rsidR="00D30E35">
        <w:rPr>
          <w:rFonts w:asciiTheme="minorHAnsi" w:eastAsia="Times New Roman" w:hAnsiTheme="minorHAnsi" w:cstheme="minorHAnsi"/>
          <w:kern w:val="0"/>
          <w:sz w:val="22"/>
          <w:szCs w:val="22"/>
          <w:lang w:val="fr-FR" w:eastAsia="en-US"/>
        </w:rPr>
        <w:t>on</w:t>
      </w:r>
      <w:r w:rsidR="00CA0AE0" w:rsidRPr="008A5ACB">
        <w:rPr>
          <w:rFonts w:asciiTheme="minorHAnsi" w:eastAsia="Times New Roman" w:hAnsiTheme="minorHAnsi" w:cstheme="minorHAnsi"/>
          <w:kern w:val="0"/>
          <w:sz w:val="22"/>
          <w:szCs w:val="22"/>
          <w:lang w:val="fr-FR" w:eastAsia="en-US"/>
        </w:rPr>
        <w:t xml:space="preserve"> annexe</w:t>
      </w:r>
      <w:r w:rsidR="00D30E35">
        <w:rPr>
          <w:rFonts w:asciiTheme="minorHAnsi" w:eastAsia="Times New Roman" w:hAnsiTheme="minorHAnsi" w:cstheme="minorHAnsi"/>
          <w:kern w:val="0"/>
          <w:sz w:val="22"/>
          <w:szCs w:val="22"/>
          <w:lang w:val="fr-FR" w:eastAsia="en-US"/>
        </w:rPr>
        <w:t xml:space="preserve"> déposées</w:t>
      </w:r>
      <w:r w:rsidRPr="008A5ACB">
        <w:rPr>
          <w:rFonts w:asciiTheme="minorHAnsi" w:eastAsia="Times New Roman" w:hAnsiTheme="minorHAnsi" w:cstheme="minorHAnsi"/>
          <w:kern w:val="0"/>
          <w:sz w:val="22"/>
          <w:szCs w:val="22"/>
          <w:lang w:val="fr-FR" w:eastAsia="en-US"/>
        </w:rPr>
        <w:t xml:space="preserve"> au greffe le </w:t>
      </w:r>
      <w:r w:rsidR="00D30E35">
        <w:rPr>
          <w:rFonts w:asciiTheme="minorHAnsi" w:eastAsia="Times New Roman" w:hAnsiTheme="minorHAnsi" w:cstheme="minorHAnsi"/>
          <w:kern w:val="0"/>
          <w:sz w:val="22"/>
          <w:szCs w:val="22"/>
          <w:lang w:val="fr-FR" w:eastAsia="en-US"/>
        </w:rPr>
        <w:t>23 septembre 2020 (R.G. 20/2601/A)</w:t>
      </w:r>
      <w:r w:rsidRPr="008A5ACB">
        <w:rPr>
          <w:rFonts w:asciiTheme="minorHAnsi" w:eastAsia="Times New Roman" w:hAnsiTheme="minorHAnsi" w:cstheme="minorHAnsi"/>
          <w:kern w:val="0"/>
          <w:sz w:val="22"/>
          <w:szCs w:val="22"/>
          <w:lang w:val="fr-FR" w:eastAsia="en-US"/>
        </w:rPr>
        <w:t> ;</w:t>
      </w:r>
    </w:p>
    <w:p w:rsidR="00D30E35" w:rsidRDefault="00D30E3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la requête introductive d’instance et ses annexes déposées au greffe le 20 octobre 2020</w:t>
      </w:r>
      <w:r w:rsidR="00D33D8E">
        <w:rPr>
          <w:rFonts w:asciiTheme="minorHAnsi" w:eastAsia="Times New Roman" w:hAnsiTheme="minorHAnsi" w:cstheme="minorHAnsi"/>
          <w:kern w:val="0"/>
          <w:sz w:val="22"/>
          <w:szCs w:val="22"/>
          <w:lang w:val="fr-FR" w:eastAsia="en-US"/>
        </w:rPr>
        <w:t xml:space="preserve"> (R.G. 20/2904/A)</w:t>
      </w:r>
      <w:r>
        <w:rPr>
          <w:rFonts w:asciiTheme="minorHAnsi" w:eastAsia="Times New Roman" w:hAnsiTheme="minorHAnsi" w:cstheme="minorHAnsi"/>
          <w:kern w:val="0"/>
          <w:sz w:val="22"/>
          <w:szCs w:val="22"/>
          <w:lang w:val="fr-FR" w:eastAsia="en-US"/>
        </w:rPr>
        <w:t> ;</w:t>
      </w:r>
    </w:p>
    <w:p w:rsidR="00D30E35" w:rsidRDefault="00D30E3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de l’</w:t>
      </w:r>
      <w:proofErr w:type="spellStart"/>
      <w:r>
        <w:rPr>
          <w:rFonts w:asciiTheme="minorHAnsi" w:eastAsia="Times New Roman" w:hAnsiTheme="minorHAnsi" w:cstheme="minorHAnsi"/>
          <w:kern w:val="0"/>
          <w:sz w:val="22"/>
          <w:szCs w:val="22"/>
          <w:lang w:val="fr-FR" w:eastAsia="en-US"/>
        </w:rPr>
        <w:t>ONEm</w:t>
      </w:r>
      <w:proofErr w:type="spellEnd"/>
      <w:r>
        <w:rPr>
          <w:rFonts w:asciiTheme="minorHAnsi" w:eastAsia="Times New Roman" w:hAnsiTheme="minorHAnsi" w:cstheme="minorHAnsi"/>
          <w:kern w:val="0"/>
          <w:sz w:val="22"/>
          <w:szCs w:val="22"/>
          <w:lang w:val="fr-FR" w:eastAsia="en-US"/>
        </w:rPr>
        <w:t xml:space="preserve"> déposées au greffe le 13 janvier 2022 ;</w:t>
      </w:r>
    </w:p>
    <w:p w:rsidR="00D30E35" w:rsidRDefault="00D30E3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Mme </w:t>
      </w:r>
      <w:r w:rsidR="00173794">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reçues au greffe le 17 janvier 2022 ;</w:t>
      </w:r>
    </w:p>
    <w:p w:rsidR="00D30E35" w:rsidRPr="008A5ACB" w:rsidRDefault="00D30E35"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dossier de Mme </w:t>
      </w:r>
      <w:r w:rsidR="00173794">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déposé à l’audience du 18 janvier 2022 ;</w:t>
      </w:r>
    </w:p>
    <w:p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00E40AC4" w:rsidRPr="008A5ACB">
        <w:rPr>
          <w:rFonts w:asciiTheme="minorHAnsi" w:eastAsia="Times New Roman" w:hAnsiTheme="minorHAnsi" w:cstheme="minorHAnsi"/>
          <w:spacing w:val="-2"/>
          <w:kern w:val="0"/>
          <w:sz w:val="22"/>
          <w:szCs w:val="22"/>
          <w:lang w:val="fr-FR" w:eastAsia="en-US"/>
        </w:rPr>
        <w:t>dossier de l’Auditorat du Travail.</w:t>
      </w:r>
    </w:p>
    <w:p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D33D8E">
        <w:rPr>
          <w:rFonts w:asciiTheme="minorHAnsi" w:eastAsia="Times New Roman" w:hAnsiTheme="minorHAnsi" w:cstheme="minorHAnsi"/>
          <w:spacing w:val="-2"/>
          <w:kern w:val="0"/>
          <w:sz w:val="22"/>
          <w:szCs w:val="22"/>
          <w:lang w:val="fr-FR" w:eastAsia="en-US"/>
        </w:rPr>
        <w:t xml:space="preserve">                                      </w:t>
      </w:r>
      <w:r w:rsidR="00D33D8E">
        <w:rPr>
          <w:rFonts w:asciiTheme="minorHAnsi" w:eastAsia="Times New Roman" w:hAnsiTheme="minorHAnsi" w:cstheme="minorHAnsi"/>
          <w:b/>
          <w:kern w:val="0"/>
          <w:sz w:val="22"/>
          <w:szCs w:val="22"/>
          <w:lang w:eastAsia="en-US"/>
        </w:rPr>
        <w:t>18 janvier 2022</w:t>
      </w:r>
      <w:r w:rsidRPr="008A5ACB">
        <w:rPr>
          <w:rFonts w:asciiTheme="minorHAnsi" w:eastAsia="Times New Roman" w:hAnsiTheme="minorHAnsi" w:cstheme="minorHAnsi"/>
          <w:kern w:val="0"/>
          <w:sz w:val="22"/>
          <w:szCs w:val="22"/>
          <w:lang w:eastAsia="en-US"/>
        </w:rPr>
        <w:t>.</w:t>
      </w:r>
    </w:p>
    <w:p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rsidR="0068109E" w:rsidRPr="008A5ACB" w:rsidRDefault="00D33D8E" w:rsidP="0068109E">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À</w:t>
      </w:r>
      <w:r w:rsidR="0068109E" w:rsidRPr="008A5ACB">
        <w:rPr>
          <w:rFonts w:asciiTheme="minorHAnsi" w:eastAsia="Times New Roman" w:hAnsiTheme="minorHAnsi" w:cstheme="minorHAnsi"/>
          <w:spacing w:val="-2"/>
          <w:kern w:val="0"/>
          <w:sz w:val="22"/>
          <w:szCs w:val="22"/>
          <w:lang w:val="fr-FR" w:eastAsia="en-US"/>
        </w:rPr>
        <w:t xml:space="preserve"> cette même audience, après la clôture des débats, </w:t>
      </w:r>
      <w:r>
        <w:rPr>
          <w:rFonts w:asciiTheme="minorHAnsi" w:eastAsia="Times New Roman" w:hAnsiTheme="minorHAnsi" w:cstheme="minorHAnsi"/>
          <w:b/>
          <w:spacing w:val="-2"/>
          <w:kern w:val="0"/>
          <w:sz w:val="22"/>
          <w:szCs w:val="22"/>
          <w:lang w:val="fr-FR" w:eastAsia="en-US"/>
        </w:rPr>
        <w:t>Mme</w:t>
      </w:r>
      <w:r w:rsidR="0068109E" w:rsidRPr="008A5ACB">
        <w:rPr>
          <w:rFonts w:asciiTheme="minorHAnsi" w:eastAsia="Times New Roman" w:hAnsiTheme="minorHAnsi" w:cstheme="minorHAnsi"/>
          <w:b/>
          <w:spacing w:val="-2"/>
          <w:kern w:val="0"/>
          <w:sz w:val="22"/>
          <w:szCs w:val="22"/>
          <w:lang w:val="fr-FR" w:eastAsia="en-US"/>
        </w:rPr>
        <w:t xml:space="preserve"> HANSENNE </w:t>
      </w:r>
      <w:r>
        <w:rPr>
          <w:rFonts w:asciiTheme="minorHAnsi" w:eastAsia="Times New Roman" w:hAnsiTheme="minorHAnsi" w:cstheme="minorHAnsi"/>
          <w:b/>
          <w:spacing w:val="-2"/>
          <w:kern w:val="0"/>
          <w:sz w:val="22"/>
          <w:szCs w:val="22"/>
          <w:lang w:val="fr-FR" w:eastAsia="en-US"/>
        </w:rPr>
        <w:t>V.</w:t>
      </w:r>
      <w:r w:rsidR="0068109E" w:rsidRPr="008A5ACB">
        <w:rPr>
          <w:rFonts w:asciiTheme="minorHAnsi" w:eastAsia="Times New Roman" w:hAnsiTheme="minorHAnsi" w:cstheme="minorHAnsi"/>
          <w:b/>
          <w:spacing w:val="-2"/>
          <w:kern w:val="0"/>
          <w:sz w:val="22"/>
          <w:szCs w:val="22"/>
          <w:lang w:val="fr-FR" w:eastAsia="en-US"/>
        </w:rPr>
        <w:t>, Substitut de l'Auditeur</w:t>
      </w:r>
      <w:r>
        <w:rPr>
          <w:rFonts w:asciiTheme="minorHAnsi" w:eastAsia="Times New Roman" w:hAnsiTheme="minorHAnsi" w:cstheme="minorHAnsi"/>
          <w:b/>
          <w:spacing w:val="-2"/>
          <w:kern w:val="0"/>
          <w:sz w:val="22"/>
          <w:szCs w:val="22"/>
          <w:lang w:val="fr-FR" w:eastAsia="en-US"/>
        </w:rPr>
        <w:t>,</w:t>
      </w:r>
      <w:r w:rsidR="0068109E" w:rsidRPr="008A5ACB">
        <w:rPr>
          <w:rFonts w:asciiTheme="minorHAnsi" w:eastAsia="Times New Roman" w:hAnsiTheme="minorHAnsi" w:cstheme="minorHAnsi"/>
          <w:spacing w:val="-2"/>
          <w:kern w:val="0"/>
          <w:sz w:val="22"/>
          <w:szCs w:val="22"/>
          <w:lang w:val="fr-FR" w:eastAsia="en-US"/>
        </w:rPr>
        <w:t xml:space="preserve"> </w:t>
      </w:r>
      <w:r>
        <w:rPr>
          <w:rFonts w:asciiTheme="minorHAnsi" w:eastAsia="Times New Roman" w:hAnsiTheme="minorHAnsi" w:cstheme="minorHAnsi"/>
          <w:spacing w:val="-2"/>
          <w:kern w:val="0"/>
          <w:sz w:val="22"/>
          <w:szCs w:val="22"/>
          <w:lang w:val="fr-FR" w:eastAsia="en-US"/>
        </w:rPr>
        <w:t xml:space="preserve">a déposé son avis écrit </w:t>
      </w:r>
      <w:r w:rsidR="0068109E" w:rsidRPr="008A5ACB">
        <w:rPr>
          <w:rFonts w:asciiTheme="minorHAnsi" w:eastAsia="Times New Roman" w:hAnsiTheme="minorHAnsi" w:cstheme="minorHAnsi"/>
          <w:spacing w:val="-2"/>
          <w:kern w:val="0"/>
          <w:sz w:val="22"/>
          <w:szCs w:val="22"/>
          <w:lang w:val="fr-FR" w:eastAsia="en-US"/>
        </w:rPr>
        <w:t>auquel il n’a pas été répliqué.</w:t>
      </w:r>
    </w:p>
    <w:p w:rsidR="00D33D8E" w:rsidRPr="00D33D8E" w:rsidRDefault="00D33D8E" w:rsidP="00D33D8E">
      <w:pPr>
        <w:spacing w:line="240" w:lineRule="atLeast"/>
        <w:jc w:val="both"/>
        <w:rPr>
          <w:rFonts w:asciiTheme="minorHAnsi" w:eastAsia="Times New Roman" w:hAnsiTheme="minorHAnsi" w:cstheme="minorHAnsi"/>
          <w:spacing w:val="-3"/>
          <w:sz w:val="22"/>
          <w:szCs w:val="22"/>
        </w:rPr>
      </w:pPr>
    </w:p>
    <w:p w:rsidR="00D33D8E" w:rsidRPr="00D33D8E" w:rsidRDefault="00D33D8E" w:rsidP="00D33D8E">
      <w:pPr>
        <w:pBdr>
          <w:top w:val="single" w:sz="4" w:space="1" w:color="auto"/>
          <w:left w:val="single" w:sz="4" w:space="4" w:color="auto"/>
          <w:bottom w:val="single" w:sz="4" w:space="1" w:color="auto"/>
          <w:right w:val="single" w:sz="4" w:space="4" w:color="auto"/>
        </w:pBdr>
        <w:tabs>
          <w:tab w:val="left" w:pos="426"/>
        </w:tabs>
        <w:rPr>
          <w:rFonts w:ascii="Calibri" w:eastAsia="Times New Roman" w:hAnsi="Calibri" w:cs="Calibri"/>
          <w:b/>
          <w:sz w:val="22"/>
          <w:szCs w:val="22"/>
        </w:rPr>
      </w:pPr>
      <w:r>
        <w:rPr>
          <w:rFonts w:ascii="Calibri" w:eastAsia="Times New Roman" w:hAnsi="Calibri" w:cs="Calibri"/>
          <w:b/>
          <w:sz w:val="22"/>
          <w:szCs w:val="22"/>
        </w:rPr>
        <w:t>II.</w:t>
      </w:r>
      <w:r>
        <w:rPr>
          <w:rFonts w:ascii="Calibri" w:eastAsia="Times New Roman" w:hAnsi="Calibri" w:cs="Calibri"/>
          <w:b/>
          <w:sz w:val="22"/>
          <w:szCs w:val="22"/>
        </w:rPr>
        <w:tab/>
      </w:r>
      <w:r w:rsidRPr="00D33D8E">
        <w:rPr>
          <w:rFonts w:ascii="Calibri" w:eastAsia="Times New Roman" w:hAnsi="Calibri" w:cs="Calibri"/>
          <w:b/>
          <w:sz w:val="22"/>
          <w:szCs w:val="22"/>
        </w:rPr>
        <w:t>RECEVABILITE</w:t>
      </w:r>
    </w:p>
    <w:p w:rsidR="00D33D8E" w:rsidRPr="00D33D8E" w:rsidRDefault="00D33D8E" w:rsidP="00D33D8E">
      <w:pPr>
        <w:spacing w:line="240" w:lineRule="atLeast"/>
        <w:jc w:val="both"/>
        <w:rPr>
          <w:rFonts w:asciiTheme="minorHAnsi" w:eastAsia="Times New Roman" w:hAnsiTheme="minorHAnsi" w:cstheme="minorHAnsi"/>
          <w:b/>
          <w:spacing w:val="-3"/>
          <w:sz w:val="22"/>
          <w:szCs w:val="22"/>
          <w:lang w:val="fr-FR"/>
        </w:rPr>
      </w:pPr>
    </w:p>
    <w:p w:rsidR="00D33D8E" w:rsidRPr="00D33D8E" w:rsidRDefault="00D33D8E" w:rsidP="00D33D8E">
      <w:pPr>
        <w:tabs>
          <w:tab w:val="left" w:pos="0"/>
          <w:tab w:val="left" w:pos="42"/>
          <w:tab w:val="left" w:pos="2004"/>
          <w:tab w:val="left" w:pos="2160"/>
        </w:tabs>
        <w:spacing w:line="240" w:lineRule="atLeast"/>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Les demandes sont recevables, aucune cause d’irrecevabilité n’ayant été soulevée ou paraissant devoir l’être d’office.</w:t>
      </w:r>
    </w:p>
    <w:p w:rsidR="00D33D8E" w:rsidRDefault="00D33D8E">
      <w:pPr>
        <w:widowControl/>
        <w:suppressAutoHyphens w:val="0"/>
        <w:autoSpaceDN/>
        <w:spacing w:after="200" w:line="276" w:lineRule="auto"/>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D33D8E" w:rsidRPr="00D33D8E" w:rsidRDefault="00D33D8E" w:rsidP="00D33D8E">
      <w:pPr>
        <w:tabs>
          <w:tab w:val="left" w:pos="0"/>
          <w:tab w:val="left" w:pos="42"/>
          <w:tab w:val="left" w:pos="2004"/>
          <w:tab w:val="left" w:pos="2160"/>
        </w:tabs>
        <w:spacing w:line="240" w:lineRule="atLeast"/>
        <w:jc w:val="both"/>
        <w:rPr>
          <w:rFonts w:asciiTheme="minorHAnsi" w:eastAsia="Times New Roman" w:hAnsiTheme="minorHAnsi" w:cstheme="minorHAnsi"/>
          <w:sz w:val="22"/>
          <w:szCs w:val="22"/>
        </w:rPr>
      </w:pPr>
    </w:p>
    <w:p w:rsidR="00D33D8E" w:rsidRPr="00D33D8E" w:rsidRDefault="00D33D8E" w:rsidP="00D33D8E">
      <w:pPr>
        <w:pBdr>
          <w:top w:val="single" w:sz="4" w:space="1" w:color="auto"/>
          <w:left w:val="single" w:sz="4" w:space="4" w:color="auto"/>
          <w:bottom w:val="single" w:sz="4" w:space="1" w:color="auto"/>
          <w:right w:val="single" w:sz="4" w:space="4" w:color="auto"/>
        </w:pBdr>
        <w:tabs>
          <w:tab w:val="left" w:pos="426"/>
        </w:tabs>
        <w:rPr>
          <w:rFonts w:ascii="Calibri" w:eastAsia="Times New Roman" w:hAnsi="Calibri" w:cs="Calibri"/>
          <w:b/>
          <w:sz w:val="22"/>
          <w:szCs w:val="22"/>
        </w:rPr>
      </w:pPr>
      <w:r>
        <w:rPr>
          <w:rFonts w:ascii="Calibri" w:eastAsia="Times New Roman" w:hAnsi="Calibri" w:cs="Calibri"/>
          <w:b/>
          <w:sz w:val="22"/>
          <w:szCs w:val="22"/>
        </w:rPr>
        <w:t>III.</w:t>
      </w:r>
      <w:r>
        <w:rPr>
          <w:rFonts w:ascii="Calibri" w:eastAsia="Times New Roman" w:hAnsi="Calibri" w:cs="Calibri"/>
          <w:b/>
          <w:sz w:val="22"/>
          <w:szCs w:val="22"/>
        </w:rPr>
        <w:tab/>
      </w:r>
      <w:r w:rsidRPr="00D33D8E">
        <w:rPr>
          <w:rFonts w:ascii="Calibri" w:eastAsia="Times New Roman" w:hAnsi="Calibri" w:cs="Calibri"/>
          <w:b/>
          <w:sz w:val="22"/>
          <w:szCs w:val="22"/>
        </w:rPr>
        <w:t>JONCTION</w:t>
      </w:r>
    </w:p>
    <w:p w:rsidR="00D33D8E" w:rsidRPr="00D33D8E" w:rsidRDefault="00D33D8E" w:rsidP="00D33D8E">
      <w:pPr>
        <w:autoSpaceDE w:val="0"/>
        <w:adjustRightInd w:val="0"/>
        <w:jc w:val="both"/>
        <w:rPr>
          <w:rFonts w:asciiTheme="minorHAnsi" w:eastAsia="Times New Roman" w:hAnsiTheme="minorHAnsi" w:cstheme="minorHAnsi"/>
          <w:sz w:val="22"/>
          <w:szCs w:val="22"/>
        </w:rPr>
      </w:pPr>
    </w:p>
    <w:p w:rsidR="00D33D8E" w:rsidRPr="00D33D8E" w:rsidRDefault="00D33D8E" w:rsidP="00D33D8E">
      <w:pPr>
        <w:autoSpaceDE w:val="0"/>
        <w:adjustRightInd w:val="0"/>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En application de l’article 30 du Code judiciaire, il y a lieu de faire droit à la demande de jonction des causes inscrites au rôle général sous les n° RG 20/2601</w:t>
      </w:r>
      <w:r w:rsidRPr="00D33D8E">
        <w:rPr>
          <w:rFonts w:asciiTheme="minorHAnsi" w:eastAsia="Times New Roman" w:hAnsiTheme="minorHAnsi" w:cstheme="minorHAnsi"/>
          <w:snapToGrid w:val="0"/>
          <w:sz w:val="22"/>
          <w:szCs w:val="22"/>
        </w:rPr>
        <w:t>/</w:t>
      </w:r>
      <w:r w:rsidRPr="00D33D8E">
        <w:rPr>
          <w:rFonts w:asciiTheme="minorHAnsi" w:eastAsia="Times New Roman" w:hAnsiTheme="minorHAnsi" w:cstheme="minorHAnsi"/>
          <w:sz w:val="22"/>
          <w:szCs w:val="22"/>
        </w:rPr>
        <w:t xml:space="preserve">A et RG </w:t>
      </w:r>
      <w:r w:rsidRPr="00D33D8E">
        <w:rPr>
          <w:rFonts w:asciiTheme="minorHAnsi" w:eastAsia="Times New Roman" w:hAnsiTheme="minorHAnsi" w:cstheme="minorHAnsi"/>
          <w:snapToGrid w:val="0"/>
          <w:sz w:val="22"/>
          <w:szCs w:val="22"/>
        </w:rPr>
        <w:t>20/2904</w:t>
      </w:r>
      <w:r w:rsidRPr="00D33D8E">
        <w:rPr>
          <w:rFonts w:asciiTheme="minorHAnsi" w:eastAsia="Times New Roman" w:hAnsiTheme="minorHAnsi" w:cstheme="minorHAnsi"/>
          <w:sz w:val="22"/>
          <w:szCs w:val="22"/>
        </w:rPr>
        <w:t>/A, et ce en raison de la connexité.</w:t>
      </w:r>
    </w:p>
    <w:p w:rsidR="00D33D8E" w:rsidRPr="00D33D8E" w:rsidRDefault="00D33D8E" w:rsidP="00D33D8E">
      <w:pPr>
        <w:spacing w:line="240" w:lineRule="atLeast"/>
        <w:ind w:left="720"/>
        <w:jc w:val="both"/>
        <w:rPr>
          <w:rFonts w:asciiTheme="minorHAnsi" w:eastAsia="Times New Roman" w:hAnsiTheme="minorHAnsi" w:cstheme="minorHAnsi"/>
          <w:b/>
          <w:spacing w:val="-3"/>
          <w:sz w:val="22"/>
          <w:szCs w:val="22"/>
        </w:rPr>
      </w:pPr>
    </w:p>
    <w:p w:rsidR="00D33D8E" w:rsidRPr="00D33D8E" w:rsidRDefault="00D33D8E" w:rsidP="00D33D8E">
      <w:pPr>
        <w:pBdr>
          <w:top w:val="single" w:sz="4" w:space="1" w:color="auto"/>
          <w:left w:val="single" w:sz="4" w:space="4" w:color="auto"/>
          <w:bottom w:val="single" w:sz="4" w:space="1" w:color="auto"/>
          <w:right w:val="single" w:sz="4" w:space="4" w:color="auto"/>
        </w:pBdr>
        <w:tabs>
          <w:tab w:val="left" w:pos="426"/>
        </w:tabs>
        <w:rPr>
          <w:rFonts w:ascii="Calibri" w:eastAsia="Times New Roman" w:hAnsi="Calibri" w:cs="Calibri"/>
          <w:b/>
          <w:sz w:val="22"/>
          <w:szCs w:val="22"/>
        </w:rPr>
      </w:pPr>
      <w:r>
        <w:rPr>
          <w:rFonts w:ascii="Calibri" w:eastAsia="Times New Roman" w:hAnsi="Calibri" w:cs="Calibri"/>
          <w:b/>
          <w:sz w:val="22"/>
          <w:szCs w:val="22"/>
        </w:rPr>
        <w:t>IV.</w:t>
      </w:r>
      <w:r>
        <w:rPr>
          <w:rFonts w:ascii="Calibri" w:eastAsia="Times New Roman" w:hAnsi="Calibri" w:cs="Calibri"/>
          <w:b/>
          <w:sz w:val="22"/>
          <w:szCs w:val="22"/>
        </w:rPr>
        <w:tab/>
      </w:r>
      <w:r w:rsidRPr="00D33D8E">
        <w:rPr>
          <w:rFonts w:ascii="Calibri" w:eastAsia="Times New Roman" w:hAnsi="Calibri" w:cs="Calibri"/>
          <w:b/>
          <w:sz w:val="22"/>
          <w:szCs w:val="22"/>
        </w:rPr>
        <w:t>DECISIONS CONTESTEES ET POSITION DES PARTIES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Madame </w:t>
      </w:r>
      <w:r w:rsidR="00173794">
        <w:rPr>
          <w:rFonts w:asciiTheme="minorHAnsi" w:eastAsia="Times New Roman" w:hAnsiTheme="minorHAnsi" w:cstheme="minorHAnsi"/>
          <w:sz w:val="22"/>
          <w:szCs w:val="22"/>
        </w:rPr>
        <w:t>B</w:t>
      </w:r>
      <w:r w:rsidRPr="00D33D8E">
        <w:rPr>
          <w:rFonts w:asciiTheme="minorHAnsi" w:eastAsia="Times New Roman" w:hAnsiTheme="minorHAnsi" w:cstheme="minorHAnsi"/>
          <w:sz w:val="22"/>
          <w:szCs w:val="22"/>
        </w:rPr>
        <w:t xml:space="preserve"> conteste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pStyle w:val="Paragraphedeliste"/>
        <w:widowControl/>
        <w:numPr>
          <w:ilvl w:val="0"/>
          <w:numId w:val="10"/>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une décision prise par l’</w:t>
      </w:r>
      <w:proofErr w:type="spellStart"/>
      <w:r w:rsidRPr="00D33D8E">
        <w:rPr>
          <w:rFonts w:asciiTheme="minorHAnsi" w:eastAsia="Times New Roman" w:hAnsiTheme="minorHAnsi" w:cstheme="minorHAnsi"/>
          <w:sz w:val="22"/>
          <w:szCs w:val="22"/>
        </w:rPr>
        <w:t>ONE</w:t>
      </w:r>
      <w:r>
        <w:rPr>
          <w:rFonts w:asciiTheme="minorHAnsi" w:eastAsia="Times New Roman" w:hAnsiTheme="minorHAnsi" w:cstheme="minorHAnsi"/>
          <w:sz w:val="22"/>
          <w:szCs w:val="22"/>
        </w:rPr>
        <w:t>m</w:t>
      </w:r>
      <w:proofErr w:type="spellEnd"/>
      <w:r w:rsidRPr="00D33D8E">
        <w:rPr>
          <w:rFonts w:asciiTheme="minorHAnsi" w:eastAsia="Times New Roman" w:hAnsiTheme="minorHAnsi" w:cstheme="minorHAnsi"/>
          <w:sz w:val="22"/>
          <w:szCs w:val="22"/>
        </w:rPr>
        <w:t xml:space="preserve"> à une date indéterminée</w:t>
      </w:r>
      <w:r w:rsidRPr="00D33D8E">
        <w:rPr>
          <w:rStyle w:val="Appelnotedebasdep"/>
          <w:rFonts w:asciiTheme="minorHAnsi" w:eastAsia="Times New Roman" w:hAnsiTheme="minorHAnsi" w:cstheme="minorHAnsi"/>
          <w:sz w:val="22"/>
          <w:szCs w:val="22"/>
        </w:rPr>
        <w:footnoteReference w:id="1"/>
      </w:r>
      <w:r w:rsidRPr="00D33D8E">
        <w:rPr>
          <w:rFonts w:asciiTheme="minorHAnsi" w:eastAsia="Times New Roman" w:hAnsiTheme="minorHAnsi" w:cstheme="minorHAnsi"/>
          <w:sz w:val="22"/>
          <w:szCs w:val="22"/>
        </w:rPr>
        <w:t xml:space="preserve"> de ne plus lui octroyer un complément de reprise de travail au 1</w:t>
      </w:r>
      <w:r w:rsidRPr="00D33D8E">
        <w:rPr>
          <w:rFonts w:asciiTheme="minorHAnsi" w:eastAsia="Times New Roman" w:hAnsiTheme="minorHAnsi" w:cstheme="minorHAnsi"/>
          <w:sz w:val="22"/>
          <w:szCs w:val="22"/>
          <w:vertAlign w:val="superscript"/>
        </w:rPr>
        <w:t>er</w:t>
      </w:r>
      <w:r w:rsidRPr="00D33D8E">
        <w:rPr>
          <w:rFonts w:asciiTheme="minorHAnsi" w:eastAsia="Times New Roman" w:hAnsiTheme="minorHAnsi" w:cstheme="minorHAnsi"/>
          <w:sz w:val="22"/>
          <w:szCs w:val="22"/>
        </w:rPr>
        <w:t xml:space="preserve"> juillet 2020 ;</w:t>
      </w:r>
    </w:p>
    <w:p w:rsidR="00D33D8E" w:rsidRPr="00D33D8E" w:rsidRDefault="00D33D8E" w:rsidP="00D33D8E">
      <w:pPr>
        <w:pStyle w:val="Paragraphedeliste"/>
        <w:widowControl/>
        <w:numPr>
          <w:ilvl w:val="0"/>
          <w:numId w:val="10"/>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une décision prise par l’</w:t>
      </w:r>
      <w:proofErr w:type="spellStart"/>
      <w:r w:rsidRPr="00D33D8E">
        <w:rPr>
          <w:rFonts w:asciiTheme="minorHAnsi" w:eastAsia="Times New Roman" w:hAnsiTheme="minorHAnsi" w:cstheme="minorHAnsi"/>
          <w:sz w:val="22"/>
          <w:szCs w:val="22"/>
        </w:rPr>
        <w:t>ONE</w:t>
      </w:r>
      <w:r>
        <w:rPr>
          <w:rFonts w:asciiTheme="minorHAnsi" w:eastAsia="Times New Roman" w:hAnsiTheme="minorHAnsi" w:cstheme="minorHAnsi"/>
          <w:sz w:val="22"/>
          <w:szCs w:val="22"/>
        </w:rPr>
        <w:t>m</w:t>
      </w:r>
      <w:proofErr w:type="spellEnd"/>
      <w:r w:rsidRPr="00D33D8E">
        <w:rPr>
          <w:rFonts w:asciiTheme="minorHAnsi" w:eastAsia="Times New Roman" w:hAnsiTheme="minorHAnsi" w:cstheme="minorHAnsi"/>
          <w:sz w:val="22"/>
          <w:szCs w:val="22"/>
        </w:rPr>
        <w:t xml:space="preserve"> le 14 janvier 2021 qui lui refuse l’octroi d’un complément de reprise de travail au 1</w:t>
      </w:r>
      <w:r w:rsidRPr="00D33D8E">
        <w:rPr>
          <w:rFonts w:asciiTheme="minorHAnsi" w:eastAsia="Times New Roman" w:hAnsiTheme="minorHAnsi" w:cstheme="minorHAnsi"/>
          <w:sz w:val="22"/>
          <w:szCs w:val="22"/>
          <w:vertAlign w:val="superscript"/>
        </w:rPr>
        <w:t>er</w:t>
      </w:r>
      <w:r w:rsidRPr="00D33D8E">
        <w:rPr>
          <w:rFonts w:asciiTheme="minorHAnsi" w:eastAsia="Times New Roman" w:hAnsiTheme="minorHAnsi" w:cstheme="minorHAnsi"/>
          <w:sz w:val="22"/>
          <w:szCs w:val="22"/>
        </w:rPr>
        <w:t xml:space="preserve"> juillet </w:t>
      </w:r>
      <w:r>
        <w:rPr>
          <w:rFonts w:asciiTheme="minorHAnsi" w:eastAsia="Times New Roman" w:hAnsiTheme="minorHAnsi" w:cstheme="minorHAnsi"/>
          <w:sz w:val="22"/>
          <w:szCs w:val="22"/>
        </w:rPr>
        <w:t xml:space="preserve">2020 </w:t>
      </w:r>
      <w:r w:rsidRPr="00D33D8E">
        <w:rPr>
          <w:rFonts w:asciiTheme="minorHAnsi" w:eastAsia="Times New Roman" w:hAnsiTheme="minorHAnsi" w:cstheme="minorHAnsi"/>
          <w:sz w:val="22"/>
          <w:szCs w:val="22"/>
        </w:rPr>
        <w:t>au motif que le décret de la Région wallonne du 2 février 2017 relatif aux aides à l'emploi à destination des groupes-cibles a</w:t>
      </w:r>
      <w:r w:rsidRPr="00D33D8E">
        <w:rPr>
          <w:rFonts w:asciiTheme="minorHAnsi" w:eastAsia="Times New Roman" w:hAnsiTheme="minorHAnsi" w:cstheme="minorHAnsi"/>
          <w:noProof/>
          <w:sz w:val="22"/>
          <w:szCs w:val="22"/>
          <w:lang w:val="en-GB" w:eastAsia="en-GB"/>
        </w:rPr>
        <mc:AlternateContent>
          <mc:Choice Requires="wps">
            <w:drawing>
              <wp:anchor distT="0" distB="0" distL="114300" distR="114300" simplePos="0" relativeHeight="251660288" behindDoc="0" locked="0" layoutInCell="1" allowOverlap="1" wp14:anchorId="352BF953" wp14:editId="7308B147">
                <wp:simplePos x="0" y="0"/>
                <wp:positionH relativeFrom="page">
                  <wp:posOffset>1373505</wp:posOffset>
                </wp:positionH>
                <wp:positionV relativeFrom="page">
                  <wp:posOffset>902335</wp:posOffset>
                </wp:positionV>
                <wp:extent cx="544576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57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8443"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15pt,71.05pt" to="536.9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" strokeweight=".5pt">
                <w10:wrap anchorx="page" anchory="page"/>
              </v:line>
            </w:pict>
          </mc:Fallback>
        </mc:AlternateContent>
      </w:r>
      <w:r w:rsidRPr="00D33D8E">
        <w:rPr>
          <w:rFonts w:asciiTheme="minorHAnsi" w:eastAsia="Times New Roman" w:hAnsiTheme="minorHAnsi" w:cstheme="minorHAnsi"/>
          <w:sz w:val="22"/>
          <w:szCs w:val="22"/>
        </w:rPr>
        <w:t xml:space="preserve"> abrogé le régime relatif au complément de reprise de travail à partir du 1er juillet 2017 (article 129 bis de l’arrêté royal du 25 novembre 1191 portant réglementation du chômage, abrogé par le décret de la région wallonne relatif aux aides à l’emploi à destination des groupes-cibles du 2 février 2017).</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pBdr>
          <w:top w:val="single" w:sz="4" w:space="1" w:color="auto"/>
          <w:left w:val="single" w:sz="4" w:space="4" w:color="auto"/>
          <w:bottom w:val="single" w:sz="4" w:space="1" w:color="auto"/>
          <w:right w:val="single" w:sz="4" w:space="4" w:color="auto"/>
        </w:pBdr>
        <w:tabs>
          <w:tab w:val="left" w:pos="426"/>
        </w:tabs>
        <w:rPr>
          <w:rFonts w:ascii="Calibri" w:eastAsia="Times New Roman" w:hAnsi="Calibri" w:cs="Calibri"/>
          <w:b/>
          <w:sz w:val="22"/>
          <w:szCs w:val="22"/>
        </w:rPr>
      </w:pPr>
      <w:r>
        <w:rPr>
          <w:rFonts w:ascii="Calibri" w:eastAsia="Times New Roman" w:hAnsi="Calibri" w:cs="Calibri"/>
          <w:b/>
          <w:sz w:val="22"/>
          <w:szCs w:val="22"/>
        </w:rPr>
        <w:t>V.</w:t>
      </w:r>
      <w:r>
        <w:rPr>
          <w:rFonts w:ascii="Calibri" w:eastAsia="Times New Roman" w:hAnsi="Calibri" w:cs="Calibri"/>
          <w:b/>
          <w:sz w:val="22"/>
          <w:szCs w:val="22"/>
        </w:rPr>
        <w:tab/>
      </w:r>
      <w:r w:rsidRPr="00D33D8E">
        <w:rPr>
          <w:rFonts w:ascii="Calibri" w:eastAsia="Times New Roman" w:hAnsi="Calibri" w:cs="Calibri"/>
          <w:b/>
          <w:sz w:val="22"/>
          <w:szCs w:val="22"/>
        </w:rPr>
        <w:t>FONDEMENT</w:t>
      </w:r>
    </w:p>
    <w:p w:rsidR="00D33D8E" w:rsidRPr="00D33D8E" w:rsidRDefault="00D33D8E" w:rsidP="00D33D8E">
      <w:pPr>
        <w:spacing w:line="240" w:lineRule="atLeast"/>
        <w:ind w:left="720"/>
        <w:jc w:val="both"/>
        <w:rPr>
          <w:rFonts w:asciiTheme="minorHAnsi" w:eastAsia="Times New Roman" w:hAnsiTheme="minorHAnsi" w:cstheme="minorHAnsi"/>
          <w:b/>
          <w:spacing w:val="-3"/>
          <w:sz w:val="22"/>
          <w:szCs w:val="22"/>
        </w:rPr>
      </w:pPr>
    </w:p>
    <w:p w:rsidR="00D33D8E" w:rsidRPr="00D33D8E" w:rsidRDefault="00D33D8E" w:rsidP="00D33D8E">
      <w:pPr>
        <w:tabs>
          <w:tab w:val="left" w:pos="-2834"/>
          <w:tab w:val="left" w:pos="-2114"/>
          <w:tab w:val="left" w:pos="-1394"/>
          <w:tab w:val="left" w:pos="-674"/>
          <w:tab w:val="left" w:pos="2008"/>
        </w:tabs>
        <w:rPr>
          <w:rFonts w:asciiTheme="minorHAnsi" w:eastAsia="Times New Roman" w:hAnsiTheme="minorHAnsi" w:cstheme="minorHAnsi"/>
          <w:b/>
          <w:i/>
          <w:spacing w:val="-2"/>
          <w:sz w:val="22"/>
          <w:szCs w:val="22"/>
        </w:rPr>
      </w:pPr>
      <w:r w:rsidRPr="00D33D8E">
        <w:rPr>
          <w:rFonts w:asciiTheme="minorHAnsi" w:eastAsia="Times New Roman" w:hAnsiTheme="minorHAnsi" w:cstheme="minorHAnsi"/>
          <w:b/>
          <w:i/>
          <w:spacing w:val="-2"/>
          <w:sz w:val="22"/>
          <w:szCs w:val="22"/>
        </w:rPr>
        <w:t>I. Les faits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Madame </w:t>
      </w:r>
      <w:r w:rsidR="00173794">
        <w:rPr>
          <w:rFonts w:asciiTheme="minorHAnsi" w:eastAsia="Times New Roman" w:hAnsiTheme="minorHAnsi" w:cstheme="minorHAnsi"/>
          <w:sz w:val="22"/>
          <w:szCs w:val="22"/>
        </w:rPr>
        <w:t>B</w:t>
      </w:r>
      <w:r w:rsidRPr="00D33D8E">
        <w:rPr>
          <w:rFonts w:asciiTheme="minorHAnsi" w:eastAsia="Times New Roman" w:hAnsiTheme="minorHAnsi" w:cstheme="minorHAnsi"/>
          <w:sz w:val="22"/>
          <w:szCs w:val="22"/>
        </w:rPr>
        <w:t xml:space="preserve"> est née le 19 janvier 1960. Au moment où est prise la décision, elle était donc âgée de 60 ans.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 20 mars 2012, elle introduit, par un formulaire C 129 bis, une demande de complément de reprise du travail ordinaire à partir du 1</w:t>
      </w:r>
      <w:r w:rsidRPr="00D33D8E">
        <w:rPr>
          <w:rFonts w:asciiTheme="minorHAnsi" w:eastAsia="Times New Roman" w:hAnsiTheme="minorHAnsi" w:cstheme="minorHAnsi"/>
          <w:sz w:val="22"/>
          <w:szCs w:val="22"/>
          <w:vertAlign w:val="superscript"/>
        </w:rPr>
        <w:t>er</w:t>
      </w:r>
      <w:r w:rsidRPr="00D33D8E">
        <w:rPr>
          <w:rFonts w:asciiTheme="minorHAnsi" w:eastAsia="Times New Roman" w:hAnsiTheme="minorHAnsi" w:cstheme="minorHAnsi"/>
          <w:sz w:val="22"/>
          <w:szCs w:val="22"/>
        </w:rPr>
        <w:t xml:space="preserve"> mars 2012 qu’elle obtient.</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 11 février 2020, elle introduit, par un formulaire C 129 bis, une demande de renouvellement du complément de reprise du travail ordinaire à partir du 29 février 2020.</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 30 juin 2020, le droit au complément de reprise de travail prend fin.</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Le 3 août 2020, Madame </w:t>
      </w:r>
      <w:r w:rsidR="00173794">
        <w:rPr>
          <w:rFonts w:asciiTheme="minorHAnsi" w:eastAsia="Times New Roman" w:hAnsiTheme="minorHAnsi" w:cstheme="minorHAnsi"/>
          <w:sz w:val="22"/>
          <w:szCs w:val="22"/>
        </w:rPr>
        <w:t>B</w:t>
      </w:r>
      <w:r w:rsidRPr="00D33D8E">
        <w:rPr>
          <w:rFonts w:asciiTheme="minorHAnsi" w:eastAsia="Times New Roman" w:hAnsiTheme="minorHAnsi" w:cstheme="minorHAnsi"/>
          <w:sz w:val="22"/>
          <w:szCs w:val="22"/>
        </w:rPr>
        <w:t xml:space="preserve"> demande mais n’obtient pas au 1</w:t>
      </w:r>
      <w:r w:rsidRPr="00D33D8E">
        <w:rPr>
          <w:rFonts w:asciiTheme="minorHAnsi" w:eastAsia="Times New Roman" w:hAnsiTheme="minorHAnsi" w:cstheme="minorHAnsi"/>
          <w:sz w:val="22"/>
          <w:szCs w:val="22"/>
          <w:vertAlign w:val="superscript"/>
        </w:rPr>
        <w:t>er</w:t>
      </w:r>
      <w:r w:rsidRPr="00D33D8E">
        <w:rPr>
          <w:rFonts w:asciiTheme="minorHAnsi" w:eastAsia="Times New Roman" w:hAnsiTheme="minorHAnsi" w:cstheme="minorHAnsi"/>
          <w:sz w:val="22"/>
          <w:szCs w:val="22"/>
        </w:rPr>
        <w:t xml:space="preserve"> juillet 2020, le renouvellement du complément de reprise du travail.</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Le 23 septembre 2020, Madame </w:t>
      </w:r>
      <w:r w:rsidR="00173794">
        <w:rPr>
          <w:rFonts w:asciiTheme="minorHAnsi" w:eastAsia="Times New Roman" w:hAnsiTheme="minorHAnsi" w:cstheme="minorHAnsi"/>
          <w:sz w:val="22"/>
          <w:szCs w:val="22"/>
        </w:rPr>
        <w:t>B</w:t>
      </w:r>
      <w:r w:rsidRPr="00D33D8E">
        <w:rPr>
          <w:rFonts w:asciiTheme="minorHAnsi" w:eastAsia="Times New Roman" w:hAnsiTheme="minorHAnsi" w:cstheme="minorHAnsi"/>
          <w:sz w:val="22"/>
          <w:szCs w:val="22"/>
        </w:rPr>
        <w:t xml:space="preserve"> introduit un recours contre la décision de l'</w:t>
      </w:r>
      <w:proofErr w:type="spellStart"/>
      <w:r w:rsidRPr="00D33D8E">
        <w:rPr>
          <w:rFonts w:asciiTheme="minorHAnsi" w:eastAsia="Times New Roman" w:hAnsiTheme="minorHAnsi" w:cstheme="minorHAnsi"/>
          <w:sz w:val="22"/>
          <w:szCs w:val="22"/>
        </w:rPr>
        <w:t>ONE</w:t>
      </w:r>
      <w:r w:rsidR="00896B24">
        <w:rPr>
          <w:rFonts w:asciiTheme="minorHAnsi" w:eastAsia="Times New Roman" w:hAnsiTheme="minorHAnsi" w:cstheme="minorHAnsi"/>
          <w:sz w:val="22"/>
          <w:szCs w:val="22"/>
        </w:rPr>
        <w:t>m</w:t>
      </w:r>
      <w:proofErr w:type="spellEnd"/>
      <w:r w:rsidRPr="00D33D8E">
        <w:rPr>
          <w:rFonts w:asciiTheme="minorHAnsi" w:eastAsia="Times New Roman" w:hAnsiTheme="minorHAnsi" w:cstheme="minorHAnsi"/>
          <w:sz w:val="22"/>
          <w:szCs w:val="22"/>
        </w:rPr>
        <w:t xml:space="preserve"> du </w:t>
      </w:r>
      <w:r w:rsidR="00896B24">
        <w:rPr>
          <w:rFonts w:asciiTheme="minorHAnsi" w:eastAsia="Times New Roman" w:hAnsiTheme="minorHAnsi" w:cstheme="minorHAnsi"/>
          <w:sz w:val="22"/>
          <w:szCs w:val="22"/>
        </w:rPr>
        <w:t xml:space="preserve">              </w:t>
      </w:r>
      <w:r w:rsidRPr="00D33D8E">
        <w:rPr>
          <w:rFonts w:asciiTheme="minorHAnsi" w:eastAsia="Times New Roman" w:hAnsiTheme="minorHAnsi" w:cstheme="minorHAnsi"/>
          <w:sz w:val="22"/>
          <w:szCs w:val="22"/>
        </w:rPr>
        <w:t>3 août 2020, ainsi que le 20 octobre 2020.</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En date du 14 janvier 2021, une décision formelle est notifiée dans ce sens à Madame </w:t>
      </w:r>
      <w:r w:rsidR="00173794">
        <w:rPr>
          <w:rFonts w:asciiTheme="minorHAnsi" w:eastAsia="Times New Roman" w:hAnsiTheme="minorHAnsi" w:cstheme="minorHAnsi"/>
          <w:sz w:val="22"/>
          <w:szCs w:val="22"/>
        </w:rPr>
        <w:t>B</w:t>
      </w:r>
      <w:r w:rsidRPr="00D33D8E">
        <w:rPr>
          <w:rFonts w:asciiTheme="minorHAnsi" w:eastAsia="Times New Roman" w:hAnsiTheme="minorHAnsi" w:cstheme="minorHAnsi"/>
          <w:sz w:val="22"/>
          <w:szCs w:val="22"/>
        </w:rPr>
        <w:t xml:space="preserve">. </w:t>
      </w:r>
    </w:p>
    <w:p w:rsidR="00D33D8E" w:rsidRPr="00D33D8E" w:rsidRDefault="00D33D8E" w:rsidP="00D33D8E">
      <w:pPr>
        <w:spacing w:line="240" w:lineRule="atLeast"/>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rPr>
          <w:rFonts w:asciiTheme="minorHAnsi" w:eastAsia="Times New Roman" w:hAnsiTheme="minorHAnsi" w:cstheme="minorHAnsi"/>
          <w:b/>
          <w:i/>
          <w:spacing w:val="-2"/>
          <w:sz w:val="22"/>
          <w:szCs w:val="22"/>
        </w:rPr>
      </w:pPr>
      <w:r w:rsidRPr="00D33D8E">
        <w:rPr>
          <w:rFonts w:asciiTheme="minorHAnsi" w:eastAsia="Times New Roman" w:hAnsiTheme="minorHAnsi" w:cstheme="minorHAnsi"/>
          <w:b/>
          <w:i/>
          <w:spacing w:val="-2"/>
          <w:sz w:val="22"/>
          <w:szCs w:val="22"/>
        </w:rPr>
        <w:t>II. Dispositions en cause</w:t>
      </w:r>
    </w:p>
    <w:p w:rsidR="00D33D8E" w:rsidRPr="00D33D8E" w:rsidRDefault="00D33D8E" w:rsidP="00D33D8E">
      <w:pPr>
        <w:spacing w:line="240" w:lineRule="atLeast"/>
        <w:jc w:val="both"/>
        <w:rPr>
          <w:rFonts w:asciiTheme="minorHAnsi" w:hAnsiTheme="minorHAnsi" w:cstheme="minorHAnsi"/>
          <w:spacing w:val="-3"/>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1.</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Les articles 129</w:t>
      </w:r>
      <w:r w:rsidRPr="00896B24">
        <w:rPr>
          <w:rFonts w:asciiTheme="minorHAnsi" w:eastAsia="Times New Roman" w:hAnsiTheme="minorHAnsi" w:cstheme="minorHAnsi"/>
          <w:i/>
          <w:sz w:val="22"/>
          <w:szCs w:val="22"/>
        </w:rPr>
        <w:t>bis</w:t>
      </w:r>
      <w:r w:rsidRPr="00D33D8E">
        <w:rPr>
          <w:rFonts w:asciiTheme="minorHAnsi" w:eastAsia="Times New Roman" w:hAnsiTheme="minorHAnsi" w:cstheme="minorHAnsi"/>
          <w:sz w:val="22"/>
          <w:szCs w:val="22"/>
        </w:rPr>
        <w:t xml:space="preserve"> et 129</w:t>
      </w:r>
      <w:r w:rsidRPr="00896B24">
        <w:rPr>
          <w:rFonts w:asciiTheme="minorHAnsi" w:eastAsia="Times New Roman" w:hAnsiTheme="minorHAnsi" w:cstheme="minorHAnsi"/>
          <w:i/>
          <w:sz w:val="22"/>
          <w:szCs w:val="22"/>
        </w:rPr>
        <w:t>ter</w:t>
      </w:r>
      <w:r w:rsidRPr="00D33D8E">
        <w:rPr>
          <w:rFonts w:asciiTheme="minorHAnsi" w:eastAsia="Times New Roman" w:hAnsiTheme="minorHAnsi" w:cstheme="minorHAnsi"/>
          <w:sz w:val="22"/>
          <w:szCs w:val="22"/>
        </w:rPr>
        <w:t xml:space="preserve"> de l'arrêté royal du 25 novembre 1991 portant règlementation du chômage, applicables au moment des faits prévoyaient l’octroi d’un complément de reprise de </w:t>
      </w:r>
      <w:r w:rsidRPr="00D33D8E">
        <w:rPr>
          <w:rFonts w:asciiTheme="minorHAnsi" w:eastAsia="Times New Roman" w:hAnsiTheme="minorHAnsi" w:cstheme="minorHAnsi"/>
          <w:sz w:val="22"/>
          <w:szCs w:val="22"/>
        </w:rPr>
        <w:lastRenderedPageBreak/>
        <w:t>travail selon une certaine procédure et certaines conditions.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 complément de reprise du travail était une indemnité accordée complémentairement au salaire du chômeur âgé qui reprenait le travail comme salarié ou qui s'installait comme </w:t>
      </w:r>
      <w:hyperlink r:id="rId10" w:anchor="Indpendant" w:tooltip="Un indépendant est une personne qui exerce, pour son propre compte, une profession ou des activités professionnelles et qui, de ce fait, ne relève pas de la sécurité sociale secteur chômage.&amp;nbsp;" w:history="1">
        <w:r w:rsidRPr="00D33D8E">
          <w:rPr>
            <w:rFonts w:asciiTheme="minorHAnsi" w:eastAsia="Times New Roman" w:hAnsiTheme="minorHAnsi" w:cstheme="minorHAnsi"/>
            <w:sz w:val="22"/>
            <w:szCs w:val="22"/>
          </w:rPr>
          <w:t>indépendant</w:t>
        </w:r>
      </w:hyperlink>
      <w:r w:rsidRPr="00D33D8E">
        <w:rPr>
          <w:rFonts w:asciiTheme="minorHAnsi" w:eastAsia="Times New Roman" w:hAnsiTheme="minorHAnsi" w:cstheme="minorHAnsi"/>
          <w:sz w:val="22"/>
          <w:szCs w:val="22"/>
        </w:rPr>
        <w:t> à titre principal.</w:t>
      </w:r>
    </w:p>
    <w:p w:rsidR="00896B24" w:rsidRDefault="00896B24"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 complément de reprise du travail pouvait être accordé pour toute la durée de la reprise du travail ou être limité dans le temps.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Ainsi, l’article 129</w:t>
      </w:r>
      <w:r w:rsidRPr="00896B24">
        <w:rPr>
          <w:rFonts w:asciiTheme="minorHAnsi" w:eastAsia="Times New Roman" w:hAnsiTheme="minorHAnsi" w:cstheme="minorHAnsi"/>
          <w:i/>
          <w:sz w:val="22"/>
          <w:szCs w:val="22"/>
        </w:rPr>
        <w:t>bis</w:t>
      </w:r>
      <w:r w:rsidRPr="00D33D8E">
        <w:rPr>
          <w:rFonts w:asciiTheme="minorHAnsi" w:eastAsia="Times New Roman" w:hAnsiTheme="minorHAnsi" w:cstheme="minorHAnsi"/>
          <w:sz w:val="22"/>
          <w:szCs w:val="22"/>
        </w:rPr>
        <w:t>, §1er de l’arrêté royal précité disposait ainsi que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En exécution de l'article 7, § 1 er, alinéa 3, p, de l'arrêté-loi du 28 décembre 1944 concernant la sécurité sociale des travailleurs, le complément de reprise du travail pe</w:t>
      </w:r>
      <w:r w:rsidR="00896B24">
        <w:rPr>
          <w:rFonts w:asciiTheme="minorHAnsi" w:eastAsia="Times New Roman" w:hAnsiTheme="minorHAnsi" w:cstheme="minorHAnsi"/>
          <w:i/>
          <w:iCs/>
          <w:sz w:val="22"/>
          <w:szCs w:val="22"/>
        </w:rPr>
        <w:t>ut être accordé au travailleur q</w:t>
      </w:r>
      <w:r w:rsidRPr="00D33D8E">
        <w:rPr>
          <w:rFonts w:asciiTheme="minorHAnsi" w:eastAsia="Times New Roman" w:hAnsiTheme="minorHAnsi" w:cstheme="minorHAnsi"/>
          <w:i/>
          <w:iCs/>
          <w:sz w:val="22"/>
          <w:szCs w:val="22"/>
        </w:rPr>
        <w:t xml:space="preserve">ui reprend le travail comme travailleur salarié et qui: </w:t>
      </w:r>
    </w:p>
    <w:p w:rsidR="00D33D8E" w:rsidRPr="00896B24" w:rsidRDefault="00D33D8E" w:rsidP="00896B24">
      <w:pPr>
        <w:pStyle w:val="Paragraphedeliste"/>
        <w:numPr>
          <w:ilvl w:val="0"/>
          <w:numId w:val="11"/>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 </w:t>
      </w:r>
    </w:p>
    <w:p w:rsidR="00D33D8E" w:rsidRPr="00896B24" w:rsidRDefault="00D33D8E" w:rsidP="00896B24">
      <w:pPr>
        <w:pStyle w:val="Paragraphedeliste"/>
        <w:numPr>
          <w:ilvl w:val="0"/>
          <w:numId w:val="11"/>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soit est chômeur complet par suite de circonstances indépendantes de sa volonté au sens de l'article 44 et satisfait aux conditions suivantes: </w:t>
      </w:r>
    </w:p>
    <w:p w:rsidR="00D33D8E" w:rsidRPr="00896B24" w:rsidRDefault="00D33D8E" w:rsidP="00896B24">
      <w:pPr>
        <w:pStyle w:val="Paragraphedeliste"/>
        <w:numPr>
          <w:ilvl w:val="0"/>
          <w:numId w:val="12"/>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avoir, au dernier jour du mois de la reprise du travail, atteint l'âge de 55 ans; </w:t>
      </w:r>
    </w:p>
    <w:p w:rsidR="00D33D8E" w:rsidRPr="00D33D8E" w:rsidRDefault="00D33D8E" w:rsidP="00896B24">
      <w:pPr>
        <w:pStyle w:val="Paragraphedeliste"/>
        <w:numPr>
          <w:ilvl w:val="0"/>
          <w:numId w:val="12"/>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ne pas être considéré comme travailleur ayant charge de famille au sens de l'article 110, § 1er, alinéa 1 er, 5° ou 6°; </w:t>
      </w:r>
    </w:p>
    <w:p w:rsidR="00D33D8E" w:rsidRPr="00D33D8E" w:rsidRDefault="00D33D8E" w:rsidP="00896B24">
      <w:pPr>
        <w:pStyle w:val="Paragraphedeliste"/>
        <w:numPr>
          <w:ilvl w:val="0"/>
          <w:numId w:val="12"/>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justifier de 20 ans de passé professionnel conformément à ce qui a été déterminé en vertu de l'article 119, 3°; </w:t>
      </w:r>
    </w:p>
    <w:p w:rsidR="00D33D8E" w:rsidRPr="00D33D8E" w:rsidRDefault="00D33D8E" w:rsidP="00896B24">
      <w:pPr>
        <w:pStyle w:val="Paragraphedeliste"/>
        <w:numPr>
          <w:ilvl w:val="0"/>
          <w:numId w:val="12"/>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ne pas bénéficier d'un complément d'entreprise octroyée dans le cadre du régime de chômage avec complément d'entreprise ou d'une allocation complémentaire dans le cadre de l'arrêté royal du 19 septembre 1980 relatif au droit aux allocations de chômage et aux indemnités complémentaires des travailleurs frontaliers âgés licenciés ou mis en chômage complet; </w:t>
      </w:r>
    </w:p>
    <w:p w:rsidR="00D33D8E" w:rsidRPr="00D33D8E" w:rsidRDefault="00D33D8E" w:rsidP="00896B24">
      <w:pPr>
        <w:pStyle w:val="Paragraphedeliste"/>
        <w:numPr>
          <w:ilvl w:val="0"/>
          <w:numId w:val="12"/>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ne pas avoir, alors que toutes les conditions pour bénéficier du régime de chômage avec complément d'entreprise sont remplies, refusé ce régime ou renoncé au complément d'entreprise.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Le complément de reprise du travail d'un montant de 150 EUR par mois-calendrier peut être accordé si le travailleur remplit simultanément les conditions suivantes: </w:t>
      </w:r>
    </w:p>
    <w:p w:rsidR="00D33D8E" w:rsidRPr="00896B24" w:rsidRDefault="00D33D8E" w:rsidP="00896B24">
      <w:pPr>
        <w:pStyle w:val="Paragraphedeliste"/>
        <w:numPr>
          <w:ilvl w:val="0"/>
          <w:numId w:val="13"/>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le travailleur introduit une demande en vue de l'octroi du complément de reprise du travail et satisfait, au début du contrat de travail et au moment de la demande, à toutes les conditions d'admission et d'octroi pour pouvoir prétendre aux allocations; </w:t>
      </w:r>
    </w:p>
    <w:p w:rsidR="00D33D8E" w:rsidRPr="00896B24" w:rsidRDefault="00D33D8E" w:rsidP="00896B24">
      <w:pPr>
        <w:pStyle w:val="Paragraphedeliste"/>
        <w:numPr>
          <w:ilvl w:val="0"/>
          <w:numId w:val="13"/>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le travailleur est, au cours du mois pour lequel le complément est demandé, lié par un contrat de travail; </w:t>
      </w:r>
    </w:p>
    <w:p w:rsidR="00D33D8E" w:rsidRPr="00896B24" w:rsidRDefault="00D33D8E" w:rsidP="00896B24">
      <w:pPr>
        <w:pStyle w:val="Paragraphedeliste"/>
        <w:numPr>
          <w:ilvl w:val="0"/>
          <w:numId w:val="13"/>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le travailleur n'a, pour le mois concerné, perçu aucune allocation comme chômeur complet conformément à un régime d'indemnisation prévu à l'article 100 ou 103, ni d'allocation dans le cadre d'une interruption de carrière totale ou partielle ou dans le cadre du crédit-temps, ni d'allocation comme chômeur complet dans le cadre de l'assurance maladie-invalidité; </w:t>
      </w:r>
    </w:p>
    <w:p w:rsidR="00D33D8E" w:rsidRPr="00896B24" w:rsidRDefault="00D33D8E" w:rsidP="00896B24">
      <w:pPr>
        <w:pStyle w:val="Paragraphedeliste"/>
        <w:numPr>
          <w:ilvl w:val="0"/>
          <w:numId w:val="13"/>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le travailleur n'a pas demandé d'allocation de garantie de revenus pour la période considérée; </w:t>
      </w:r>
    </w:p>
    <w:p w:rsidR="00D33D8E" w:rsidRPr="00896B24" w:rsidRDefault="00D33D8E" w:rsidP="00896B24">
      <w:pPr>
        <w:pStyle w:val="Paragraphedeliste"/>
        <w:numPr>
          <w:ilvl w:val="0"/>
          <w:numId w:val="13"/>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le travailleur ne bénéficie d'aucun complément d'entreprise accordé dans le cadre du régime de chômage avec complément d'entreprise ou ne bénéficie pas d'indemnité complémentaire dans le cadre de l'arrêté royal du 19 septembre 1980 relatif au droit aux allocations de chômage et aux indemnités complémentaires des travailleurs frontaliers âgés licenciés ou mis en chômage complet; </w:t>
      </w:r>
    </w:p>
    <w:p w:rsidR="00D33D8E" w:rsidRPr="00896B24" w:rsidRDefault="00D33D8E" w:rsidP="00896B24">
      <w:pPr>
        <w:pStyle w:val="Paragraphedeliste"/>
        <w:numPr>
          <w:ilvl w:val="0"/>
          <w:numId w:val="13"/>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896B24">
        <w:rPr>
          <w:rFonts w:asciiTheme="minorHAnsi" w:eastAsia="Times New Roman" w:hAnsiTheme="minorHAnsi" w:cstheme="minorHAnsi"/>
          <w:i/>
          <w:iCs/>
          <w:sz w:val="22"/>
          <w:szCs w:val="22"/>
        </w:rPr>
        <w:t xml:space="preserve">le travailleur n'a pas bénéficié antérieurement d'une allocation comme visée au 5°.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Le fait que le travailleur n'ait pas droit aux allocations du fait de la perception d'une indemnité telle que visée à l'article 46, § 1 er, alinéa 1 er, 5°, n'est pas considéré comme un obstacle pour l'application de l'alinéa 2, 1°.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Par dérogation à l'alinéa 1er, 2°, le complément de reprise du travail n'est pas octroyé au travailleur qui, dans la période de six mois qui précède le moment de la reprise du travail, était déjà en service auprès du même employeur ou dans le groupe auquel l'employeur appartient, ou travaillait dans la même entreprise ou dans le groupe auquel l'entreprise appartient, sauf si, pendant cette occupation, il satisfaisait déjà aux conditions pour pouvoir bénéficier de ce complément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Suite à la régionalisation de la matière des aides à l’emploi, la Région wallonne par un </w:t>
      </w:r>
      <w:bookmarkStart w:id="5" w:name="_Hlk95815528"/>
      <w:r w:rsidRPr="00D33D8E">
        <w:rPr>
          <w:rFonts w:asciiTheme="minorHAnsi" w:eastAsia="Times New Roman" w:hAnsiTheme="minorHAnsi" w:cstheme="minorHAnsi"/>
          <w:sz w:val="22"/>
          <w:szCs w:val="22"/>
        </w:rPr>
        <w:t>décret du 2 février 2017 relatif aux aides à l'emploi à destination des groupes-cibles</w:t>
      </w:r>
      <w:bookmarkEnd w:id="5"/>
      <w:r w:rsidRPr="00D33D8E">
        <w:rPr>
          <w:rFonts w:asciiTheme="minorHAnsi" w:eastAsia="Times New Roman" w:hAnsiTheme="minorHAnsi" w:cstheme="minorHAnsi"/>
          <w:sz w:val="22"/>
          <w:szCs w:val="22"/>
        </w:rPr>
        <w:t xml:space="preserve">, a créé de nouvelles aides visant trois catégories de personnes: </w:t>
      </w:r>
    </w:p>
    <w:p w:rsidR="00896B24" w:rsidRPr="00D33D8E" w:rsidRDefault="00896B24"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pStyle w:val="Paragraphedeliste"/>
        <w:widowControl/>
        <w:numPr>
          <w:ilvl w:val="0"/>
          <w:numId w:val="9"/>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les demandeurs d'emploi de moins de 25 ans peu ou moyennement qualifiés; </w:t>
      </w:r>
    </w:p>
    <w:p w:rsidR="00D33D8E" w:rsidRPr="00D33D8E" w:rsidRDefault="00D33D8E" w:rsidP="00D33D8E">
      <w:pPr>
        <w:pStyle w:val="Paragraphedeliste"/>
        <w:widowControl/>
        <w:numPr>
          <w:ilvl w:val="0"/>
          <w:numId w:val="9"/>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les demandeurs d'emploi de longue durée; </w:t>
      </w:r>
    </w:p>
    <w:p w:rsidR="00D33D8E" w:rsidRPr="00D33D8E" w:rsidRDefault="00D33D8E" w:rsidP="00D33D8E">
      <w:pPr>
        <w:pStyle w:val="Paragraphedeliste"/>
        <w:widowControl/>
        <w:numPr>
          <w:ilvl w:val="0"/>
          <w:numId w:val="9"/>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les travailleurs âgés de 55 ans et plus.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Concernant les travailleurs âgés, la Région wallonne a mis en place, pour le secteur privé marchand, un régime de réduction trimestrielle des cotisations sociales patronales.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Compte tenu de la création de ce nouveau système, les anciennes aides à l'emploi ont été supprimées dont le complément de reprise du travail pour toutes les occupations comme salarié ou les établissements comme indépendant débutant après le 30 juin 2017. Ainsi, l'article 129</w:t>
      </w:r>
      <w:r w:rsidRPr="0081223F">
        <w:rPr>
          <w:rFonts w:asciiTheme="minorHAnsi" w:eastAsia="Times New Roman" w:hAnsiTheme="minorHAnsi" w:cstheme="minorHAnsi"/>
          <w:i/>
          <w:sz w:val="22"/>
          <w:szCs w:val="22"/>
        </w:rPr>
        <w:t>bis</w:t>
      </w:r>
      <w:r w:rsidRPr="00D33D8E">
        <w:rPr>
          <w:rFonts w:asciiTheme="minorHAnsi" w:eastAsia="Times New Roman" w:hAnsiTheme="minorHAnsi" w:cstheme="minorHAnsi"/>
          <w:sz w:val="22"/>
          <w:szCs w:val="22"/>
        </w:rPr>
        <w:t xml:space="preserve"> de l'arrêté royal  du 25 novembre 1991 a été abrogé p</w:t>
      </w:r>
      <w:r w:rsidR="0081223F">
        <w:rPr>
          <w:rFonts w:asciiTheme="minorHAnsi" w:eastAsia="Times New Roman" w:hAnsiTheme="minorHAnsi" w:cstheme="minorHAnsi"/>
          <w:sz w:val="22"/>
          <w:szCs w:val="22"/>
        </w:rPr>
        <w:t>ar</w:t>
      </w:r>
      <w:r w:rsidRPr="00D33D8E">
        <w:rPr>
          <w:rFonts w:asciiTheme="minorHAnsi" w:eastAsia="Times New Roman" w:hAnsiTheme="minorHAnsi" w:cstheme="minorHAnsi"/>
          <w:sz w:val="22"/>
          <w:szCs w:val="22"/>
        </w:rPr>
        <w:t xml:space="preserve"> la Région wallonne (article 28 du décret du 2 février 2017).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Des mesures transitoires ont été prévues (article 36 du décret du 2 février 2017). Ainsi, si l’occupation comme salarié ou l’établissement comme indépendant avait débuté avant le </w:t>
      </w:r>
      <w:r w:rsidR="0081223F">
        <w:rPr>
          <w:rFonts w:asciiTheme="minorHAnsi" w:eastAsia="Times New Roman" w:hAnsiTheme="minorHAnsi" w:cstheme="minorHAnsi"/>
          <w:sz w:val="22"/>
          <w:szCs w:val="22"/>
        </w:rPr>
        <w:t xml:space="preserve">                             </w:t>
      </w:r>
      <w:r w:rsidRPr="00D33D8E">
        <w:rPr>
          <w:rFonts w:asciiTheme="minorHAnsi" w:eastAsia="Times New Roman" w:hAnsiTheme="minorHAnsi" w:cstheme="minorHAnsi"/>
          <w:sz w:val="22"/>
          <w:szCs w:val="22"/>
        </w:rPr>
        <w:t>1er juillet 2017, le chômeur pouvait alors bénéficier du complément :</w:t>
      </w:r>
    </w:p>
    <w:p w:rsidR="00D33D8E" w:rsidRPr="00D33D8E" w:rsidRDefault="00D33D8E" w:rsidP="00D33D8E">
      <w:pPr>
        <w:jc w:val="both"/>
        <w:rPr>
          <w:rFonts w:asciiTheme="minorHAnsi" w:hAnsiTheme="minorHAnsi" w:cstheme="minorHAnsi"/>
          <w:snapToGrid w:val="0"/>
          <w:sz w:val="22"/>
          <w:szCs w:val="22"/>
          <w:lang w:eastAsia="fr-FR"/>
        </w:rPr>
      </w:pPr>
    </w:p>
    <w:p w:rsidR="00D33D8E" w:rsidRPr="00D33D8E" w:rsidRDefault="0081223F" w:rsidP="00D33D8E">
      <w:pPr>
        <w:pStyle w:val="Paragraphedeliste"/>
        <w:widowControl/>
        <w:numPr>
          <w:ilvl w:val="0"/>
          <w:numId w:val="8"/>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j</w:t>
      </w:r>
      <w:r w:rsidR="00D33D8E" w:rsidRPr="00D33D8E">
        <w:rPr>
          <w:rFonts w:asciiTheme="minorHAnsi" w:eastAsia="Times New Roman" w:hAnsiTheme="minorHAnsi" w:cstheme="minorHAnsi"/>
          <w:sz w:val="22"/>
          <w:szCs w:val="22"/>
        </w:rPr>
        <w:t>usqu’à la fin de l’occupation ou de l’établissement en cours si le complément était à durée indéterminée, mais dans tous les cas au plus tard jusqu’au 30 juin 2020;</w:t>
      </w:r>
    </w:p>
    <w:p w:rsidR="00D33D8E" w:rsidRPr="00D33D8E" w:rsidRDefault="0081223F" w:rsidP="00D33D8E">
      <w:pPr>
        <w:pStyle w:val="Paragraphedeliste"/>
        <w:widowControl/>
        <w:numPr>
          <w:ilvl w:val="0"/>
          <w:numId w:val="8"/>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j</w:t>
      </w:r>
      <w:r w:rsidR="00D33D8E" w:rsidRPr="00D33D8E">
        <w:rPr>
          <w:rFonts w:asciiTheme="minorHAnsi" w:eastAsia="Times New Roman" w:hAnsiTheme="minorHAnsi" w:cstheme="minorHAnsi"/>
          <w:sz w:val="22"/>
          <w:szCs w:val="22"/>
        </w:rPr>
        <w:t>usqu’à la date de fin normale si le complément était à durée déterminée, mais également limité à la durée de l’occupation ou de l’établissement en cours.</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Concrètement, le bénéfice du complément de reprise du travail accordé pour une durée indéterminée a été supprimé à partir du 1er juillet 2020.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jc w:val="both"/>
        <w:rPr>
          <w:rFonts w:asciiTheme="minorHAnsi" w:hAnsiTheme="minorHAnsi" w:cstheme="minorHAnsi"/>
          <w:bCs/>
          <w:iCs/>
          <w:snapToGrid w:val="0"/>
          <w:sz w:val="22"/>
          <w:szCs w:val="22"/>
          <w:lang w:eastAsia="fr-FR"/>
        </w:rPr>
      </w:pPr>
      <w:r w:rsidRPr="00D33D8E">
        <w:rPr>
          <w:rFonts w:asciiTheme="minorHAnsi" w:hAnsiTheme="minorHAnsi" w:cstheme="minorHAnsi"/>
          <w:bCs/>
          <w:iCs/>
          <w:snapToGrid w:val="0"/>
          <w:sz w:val="22"/>
          <w:szCs w:val="22"/>
          <w:lang w:eastAsia="fr-FR"/>
        </w:rPr>
        <w:t>2.</w:t>
      </w:r>
    </w:p>
    <w:p w:rsidR="00D33D8E" w:rsidRPr="00D33D8E" w:rsidRDefault="00D33D8E" w:rsidP="00D33D8E">
      <w:pPr>
        <w:jc w:val="both"/>
        <w:rPr>
          <w:rFonts w:asciiTheme="minorHAnsi" w:hAnsiTheme="minorHAnsi" w:cstheme="minorHAnsi"/>
          <w:bCs/>
          <w:iCs/>
          <w:snapToGrid w:val="0"/>
          <w:sz w:val="22"/>
          <w:szCs w:val="22"/>
          <w:lang w:eastAsia="fr-FR"/>
        </w:rPr>
      </w:pPr>
      <w:r w:rsidRPr="00D33D8E">
        <w:rPr>
          <w:rFonts w:asciiTheme="minorHAnsi" w:hAnsiTheme="minorHAnsi" w:cstheme="minorHAnsi"/>
          <w:bCs/>
          <w:iCs/>
          <w:snapToGrid w:val="0"/>
          <w:sz w:val="22"/>
          <w:szCs w:val="22"/>
          <w:lang w:eastAsia="fr-FR"/>
        </w:rPr>
        <w:t xml:space="preserve">L'article 23 de la Constitution  dispose que : </w:t>
      </w:r>
    </w:p>
    <w:p w:rsidR="00D33D8E" w:rsidRPr="00D33D8E" w:rsidRDefault="00D33D8E" w:rsidP="00D33D8E">
      <w:pPr>
        <w:jc w:val="both"/>
        <w:rPr>
          <w:rFonts w:asciiTheme="minorHAnsi" w:hAnsiTheme="minorHAnsi" w:cstheme="minorHAnsi"/>
          <w:iCs/>
          <w:snapToGrid w:val="0"/>
          <w:sz w:val="22"/>
          <w:szCs w:val="22"/>
          <w:lang w:eastAsia="fr-FR"/>
        </w:rPr>
      </w:pP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bCs/>
          <w:i/>
          <w:iCs/>
          <w:snapToGrid w:val="0"/>
          <w:sz w:val="22"/>
          <w:szCs w:val="22"/>
          <w:lang w:eastAsia="fr-FR"/>
        </w:rPr>
        <w:t xml:space="preserve">« Chacun a le droit de mener une vie conforme la dignité humaine. </w:t>
      </w: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bCs/>
          <w:i/>
          <w:iCs/>
          <w:snapToGrid w:val="0"/>
          <w:sz w:val="22"/>
          <w:szCs w:val="22"/>
          <w:lang w:eastAsia="fr-FR"/>
        </w:rPr>
        <w:t xml:space="preserve">A cette fin, la loi, le décret ou l'ordonnance garantissent, en tenant compte des obligations correspondantes, les droits économiques, sociaux et culturels, et déterminent les conditions de leur exercice. </w:t>
      </w:r>
    </w:p>
    <w:p w:rsidR="00D33D8E" w:rsidRPr="00D33D8E" w:rsidRDefault="00D33D8E" w:rsidP="00D33D8E">
      <w:pPr>
        <w:jc w:val="both"/>
        <w:rPr>
          <w:rFonts w:asciiTheme="minorHAnsi" w:hAnsiTheme="minorHAnsi" w:cstheme="minorHAnsi"/>
          <w:bCs/>
          <w:i/>
          <w:iCs/>
          <w:snapToGrid w:val="0"/>
          <w:sz w:val="22"/>
          <w:szCs w:val="22"/>
          <w:lang w:eastAsia="fr-FR"/>
        </w:rPr>
      </w:pPr>
      <w:r w:rsidRPr="00D33D8E">
        <w:rPr>
          <w:rFonts w:asciiTheme="minorHAnsi" w:hAnsiTheme="minorHAnsi" w:cstheme="minorHAnsi"/>
          <w:bCs/>
          <w:i/>
          <w:iCs/>
          <w:snapToGrid w:val="0"/>
          <w:sz w:val="22"/>
          <w:szCs w:val="22"/>
          <w:lang w:eastAsia="fr-FR"/>
        </w:rPr>
        <w:t>Ces droits comprennent notamment : 1° le droit au travail ; 2° le droit à la sécurité sociale (...) ; 3° le droit à un logement décent ; 4° le droit à la protection d'un environnement sain ».</w:t>
      </w:r>
    </w:p>
    <w:p w:rsidR="00D33D8E" w:rsidRPr="00D33D8E" w:rsidRDefault="00D33D8E" w:rsidP="00D33D8E">
      <w:pPr>
        <w:jc w:val="both"/>
        <w:rPr>
          <w:rFonts w:asciiTheme="minorHAnsi" w:hAnsiTheme="minorHAnsi" w:cstheme="minorHAnsi"/>
          <w:bCs/>
          <w:i/>
          <w:iCs/>
          <w:snapToGrid w:val="0"/>
          <w:sz w:val="22"/>
          <w:szCs w:val="22"/>
          <w:lang w:eastAsia="fr-FR"/>
        </w:rPr>
      </w:pP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bCs/>
          <w:iCs/>
          <w:snapToGrid w:val="0"/>
          <w:sz w:val="22"/>
          <w:szCs w:val="22"/>
          <w:lang w:eastAsia="fr-FR"/>
        </w:rPr>
        <w:t xml:space="preserve">Ce texte implique une obligation de </w:t>
      </w:r>
      <w:proofErr w:type="spellStart"/>
      <w:r w:rsidRPr="00D33D8E">
        <w:rPr>
          <w:rFonts w:asciiTheme="minorHAnsi" w:hAnsiTheme="minorHAnsi" w:cstheme="minorHAnsi"/>
          <w:bCs/>
          <w:i/>
          <w:iCs/>
          <w:snapToGrid w:val="0"/>
          <w:sz w:val="22"/>
          <w:szCs w:val="22"/>
          <w:lang w:eastAsia="fr-FR"/>
        </w:rPr>
        <w:t>standstill</w:t>
      </w:r>
      <w:proofErr w:type="spellEnd"/>
      <w:r w:rsidRPr="00D33D8E">
        <w:rPr>
          <w:rFonts w:asciiTheme="minorHAnsi" w:hAnsiTheme="minorHAnsi" w:cstheme="minorHAnsi"/>
          <w:bCs/>
          <w:iCs/>
          <w:snapToGrid w:val="0"/>
          <w:sz w:val="22"/>
          <w:szCs w:val="22"/>
          <w:lang w:eastAsia="fr-FR"/>
        </w:rPr>
        <w:t>, définie, d</w:t>
      </w:r>
      <w:r w:rsidRPr="00D33D8E">
        <w:rPr>
          <w:rFonts w:asciiTheme="minorHAnsi" w:hAnsiTheme="minorHAnsi" w:cstheme="minorHAnsi"/>
          <w:iCs/>
          <w:snapToGrid w:val="0"/>
          <w:sz w:val="22"/>
          <w:szCs w:val="22"/>
          <w:lang w:eastAsia="fr-FR"/>
        </w:rPr>
        <w:t xml:space="preserve">e manière désormais constante par la jurisprudence comme : </w:t>
      </w:r>
      <w:r w:rsidRPr="00D33D8E">
        <w:rPr>
          <w:rFonts w:asciiTheme="minorHAnsi" w:hAnsiTheme="minorHAnsi" w:cstheme="minorHAnsi"/>
          <w:i/>
          <w:iCs/>
          <w:snapToGrid w:val="0"/>
          <w:sz w:val="22"/>
          <w:szCs w:val="22"/>
          <w:lang w:eastAsia="fr-FR"/>
        </w:rPr>
        <w:t>s’opposant à ce que le législateur et l’autorité réglementaire compétents réduisent sensiblement le niveau de protection offert par la norme applicable sans qu’existent pour ce faire de motifs liés à l’intérêt général</w:t>
      </w:r>
      <w:r w:rsidRPr="00D33D8E">
        <w:rPr>
          <w:rFonts w:asciiTheme="minorHAnsi" w:hAnsiTheme="minorHAnsi" w:cstheme="minorHAnsi"/>
          <w:iCs/>
          <w:snapToGrid w:val="0"/>
          <w:sz w:val="22"/>
          <w:szCs w:val="22"/>
          <w:vertAlign w:val="superscript"/>
          <w:lang w:eastAsia="fr-FR"/>
        </w:rPr>
        <w:footnoteReference w:id="2"/>
      </w:r>
      <w:r w:rsidRPr="00D33D8E">
        <w:rPr>
          <w:rFonts w:asciiTheme="minorHAnsi" w:hAnsiTheme="minorHAnsi" w:cstheme="minorHAnsi"/>
          <w:iCs/>
          <w:snapToGrid w:val="0"/>
          <w:sz w:val="22"/>
          <w:szCs w:val="22"/>
          <w:lang w:eastAsia="fr-FR"/>
        </w:rPr>
        <w:t xml:space="preserve">. </w:t>
      </w:r>
    </w:p>
    <w:p w:rsidR="00D33D8E" w:rsidRPr="00D33D8E" w:rsidRDefault="00D33D8E" w:rsidP="00D33D8E">
      <w:pPr>
        <w:jc w:val="both"/>
        <w:rPr>
          <w:rFonts w:asciiTheme="minorHAnsi" w:hAnsiTheme="minorHAnsi" w:cstheme="minorHAnsi"/>
          <w:iCs/>
          <w:snapToGrid w:val="0"/>
          <w:sz w:val="22"/>
          <w:szCs w:val="22"/>
          <w:lang w:eastAsia="fr-FR"/>
        </w:rPr>
      </w:pPr>
    </w:p>
    <w:p w:rsidR="00D33D8E" w:rsidRPr="00D33D8E" w:rsidRDefault="00D33D8E" w:rsidP="00D33D8E">
      <w:pPr>
        <w:jc w:val="both"/>
        <w:rPr>
          <w:rFonts w:asciiTheme="minorHAnsi" w:hAnsiTheme="minorHAnsi" w:cstheme="minorHAnsi"/>
          <w:bCs/>
          <w:iCs/>
          <w:snapToGrid w:val="0"/>
          <w:sz w:val="22"/>
          <w:szCs w:val="22"/>
          <w:lang w:eastAsia="fr-FR"/>
        </w:rPr>
      </w:pPr>
      <w:r w:rsidRPr="00D33D8E">
        <w:rPr>
          <w:rFonts w:asciiTheme="minorHAnsi" w:hAnsiTheme="minorHAnsi" w:cstheme="minorHAnsi"/>
          <w:bCs/>
          <w:iCs/>
          <w:snapToGrid w:val="0"/>
          <w:sz w:val="22"/>
          <w:szCs w:val="22"/>
          <w:lang w:eastAsia="fr-FR"/>
        </w:rPr>
        <w:t xml:space="preserve">Les motifs d’intérêt général ne doivent pas nécessairement résulter du texte lui-même, de son préambule ou de ses travaux préparatoires, mais peuvent être fournis </w:t>
      </w:r>
      <w:r w:rsidRPr="00D33D8E">
        <w:rPr>
          <w:rFonts w:asciiTheme="minorHAnsi" w:hAnsiTheme="minorHAnsi" w:cstheme="minorHAnsi"/>
          <w:bCs/>
          <w:i/>
          <w:iCs/>
          <w:snapToGrid w:val="0"/>
          <w:sz w:val="22"/>
          <w:szCs w:val="22"/>
          <w:lang w:eastAsia="fr-FR"/>
        </w:rPr>
        <w:t>a posteriori</w:t>
      </w:r>
      <w:r w:rsidRPr="00D33D8E">
        <w:rPr>
          <w:rFonts w:asciiTheme="minorHAnsi" w:hAnsiTheme="minorHAnsi" w:cstheme="minorHAnsi"/>
          <w:bCs/>
          <w:iCs/>
          <w:snapToGrid w:val="0"/>
          <w:sz w:val="22"/>
          <w:szCs w:val="22"/>
          <w:lang w:eastAsia="fr-FR"/>
        </w:rPr>
        <w:t xml:space="preserve"> par son auteur</w:t>
      </w:r>
      <w:r w:rsidRPr="00D33D8E">
        <w:rPr>
          <w:rFonts w:asciiTheme="minorHAnsi" w:hAnsiTheme="minorHAnsi" w:cstheme="minorHAnsi"/>
          <w:bCs/>
          <w:iCs/>
          <w:snapToGrid w:val="0"/>
          <w:sz w:val="22"/>
          <w:szCs w:val="22"/>
          <w:vertAlign w:val="superscript"/>
          <w:lang w:eastAsia="fr-FR"/>
        </w:rPr>
        <w:footnoteReference w:id="3"/>
      </w:r>
      <w:r w:rsidRPr="00D33D8E">
        <w:rPr>
          <w:rFonts w:asciiTheme="minorHAnsi" w:hAnsiTheme="minorHAnsi" w:cstheme="minorHAnsi"/>
          <w:bCs/>
          <w:iCs/>
          <w:snapToGrid w:val="0"/>
          <w:sz w:val="22"/>
          <w:szCs w:val="22"/>
          <w:lang w:eastAsia="fr-FR"/>
        </w:rPr>
        <w:t xml:space="preserve">. </w:t>
      </w:r>
    </w:p>
    <w:p w:rsidR="00D33D8E" w:rsidRPr="00D33D8E" w:rsidRDefault="00D33D8E" w:rsidP="00D33D8E">
      <w:pPr>
        <w:jc w:val="both"/>
        <w:rPr>
          <w:rFonts w:asciiTheme="minorHAnsi" w:hAnsiTheme="minorHAnsi" w:cstheme="minorHAnsi"/>
          <w:bCs/>
          <w:iCs/>
          <w:snapToGrid w:val="0"/>
          <w:sz w:val="22"/>
          <w:szCs w:val="22"/>
          <w:lang w:eastAsia="fr-FR"/>
        </w:rPr>
      </w:pPr>
    </w:p>
    <w:p w:rsidR="00D33D8E" w:rsidRPr="00D33D8E" w:rsidRDefault="00D33D8E" w:rsidP="00D33D8E">
      <w:pPr>
        <w:jc w:val="both"/>
        <w:rPr>
          <w:rFonts w:asciiTheme="minorHAnsi" w:hAnsiTheme="minorHAnsi" w:cstheme="minorHAnsi"/>
          <w:bCs/>
          <w:iCs/>
          <w:snapToGrid w:val="0"/>
          <w:sz w:val="22"/>
          <w:szCs w:val="22"/>
          <w:lang w:eastAsia="fr-FR"/>
        </w:rPr>
      </w:pPr>
      <w:r w:rsidRPr="00D33D8E">
        <w:rPr>
          <w:rFonts w:asciiTheme="minorHAnsi" w:hAnsiTheme="minorHAnsi" w:cstheme="minorHAnsi"/>
          <w:bCs/>
          <w:iCs/>
          <w:snapToGrid w:val="0"/>
          <w:sz w:val="22"/>
          <w:szCs w:val="22"/>
          <w:lang w:eastAsia="fr-FR"/>
        </w:rPr>
        <w:t xml:space="preserve">Le principe de </w:t>
      </w:r>
      <w:proofErr w:type="spellStart"/>
      <w:r w:rsidRPr="00D33D8E">
        <w:rPr>
          <w:rFonts w:asciiTheme="minorHAnsi" w:hAnsiTheme="minorHAnsi" w:cstheme="minorHAnsi"/>
          <w:bCs/>
          <w:i/>
          <w:iCs/>
          <w:snapToGrid w:val="0"/>
          <w:sz w:val="22"/>
          <w:szCs w:val="22"/>
          <w:lang w:eastAsia="fr-FR"/>
        </w:rPr>
        <w:t>standstill</w:t>
      </w:r>
      <w:proofErr w:type="spellEnd"/>
      <w:r w:rsidRPr="00D33D8E">
        <w:rPr>
          <w:rFonts w:asciiTheme="minorHAnsi" w:hAnsiTheme="minorHAnsi" w:cstheme="minorHAnsi"/>
          <w:bCs/>
          <w:i/>
          <w:iCs/>
          <w:snapToGrid w:val="0"/>
          <w:sz w:val="22"/>
          <w:szCs w:val="22"/>
          <w:lang w:eastAsia="fr-FR"/>
        </w:rPr>
        <w:t xml:space="preserve"> </w:t>
      </w:r>
      <w:r w:rsidRPr="00D33D8E">
        <w:rPr>
          <w:rFonts w:asciiTheme="minorHAnsi" w:hAnsiTheme="minorHAnsi" w:cstheme="minorHAnsi"/>
          <w:bCs/>
          <w:iCs/>
          <w:snapToGrid w:val="0"/>
          <w:sz w:val="22"/>
          <w:szCs w:val="22"/>
          <w:lang w:eastAsia="fr-FR"/>
        </w:rPr>
        <w:t>n’a pas pour conséquence de paralyser le législateur en le privant de toute possibilité de revoir la protection reconnue à un droit  à un moment donné</w:t>
      </w:r>
      <w:r w:rsidRPr="00D33D8E">
        <w:rPr>
          <w:rFonts w:asciiTheme="minorHAnsi" w:hAnsiTheme="minorHAnsi" w:cstheme="minorHAnsi"/>
          <w:bCs/>
          <w:iCs/>
          <w:snapToGrid w:val="0"/>
          <w:sz w:val="22"/>
          <w:szCs w:val="22"/>
          <w:vertAlign w:val="superscript"/>
          <w:lang w:eastAsia="fr-FR"/>
        </w:rPr>
        <w:footnoteReference w:id="4"/>
      </w:r>
      <w:r w:rsidRPr="00D33D8E">
        <w:rPr>
          <w:rFonts w:asciiTheme="minorHAnsi" w:hAnsiTheme="minorHAnsi" w:cstheme="minorHAnsi"/>
          <w:bCs/>
          <w:iCs/>
          <w:snapToGrid w:val="0"/>
          <w:sz w:val="22"/>
          <w:szCs w:val="22"/>
          <w:lang w:eastAsia="fr-FR"/>
        </w:rPr>
        <w:t>.</w:t>
      </w:r>
    </w:p>
    <w:p w:rsidR="00D33D8E" w:rsidRPr="00D33D8E" w:rsidRDefault="00D33D8E" w:rsidP="00D33D8E">
      <w:pPr>
        <w:jc w:val="both"/>
        <w:rPr>
          <w:rFonts w:asciiTheme="minorHAnsi" w:hAnsiTheme="minorHAnsi" w:cstheme="minorHAnsi"/>
          <w:iCs/>
          <w:snapToGrid w:val="0"/>
          <w:sz w:val="22"/>
          <w:szCs w:val="22"/>
          <w:lang w:eastAsia="fr-FR"/>
        </w:rPr>
      </w:pP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iCs/>
          <w:snapToGrid w:val="0"/>
          <w:sz w:val="22"/>
          <w:szCs w:val="22"/>
          <w:lang w:eastAsia="fr-FR"/>
        </w:rPr>
        <w:t xml:space="preserve">Pour examiner la conformité d’une nouvelle norme au regard du principe de </w:t>
      </w:r>
      <w:proofErr w:type="spellStart"/>
      <w:r w:rsidRPr="00D33D8E">
        <w:rPr>
          <w:rFonts w:asciiTheme="minorHAnsi" w:hAnsiTheme="minorHAnsi" w:cstheme="minorHAnsi"/>
          <w:i/>
          <w:iCs/>
          <w:snapToGrid w:val="0"/>
          <w:sz w:val="22"/>
          <w:szCs w:val="22"/>
          <w:lang w:eastAsia="fr-FR"/>
        </w:rPr>
        <w:t>standstill</w:t>
      </w:r>
      <w:proofErr w:type="spellEnd"/>
      <w:r w:rsidRPr="00D33D8E">
        <w:rPr>
          <w:rFonts w:asciiTheme="minorHAnsi" w:hAnsiTheme="minorHAnsi" w:cstheme="minorHAnsi"/>
          <w:iCs/>
          <w:snapToGrid w:val="0"/>
          <w:sz w:val="22"/>
          <w:szCs w:val="22"/>
          <w:lang w:eastAsia="fr-FR"/>
        </w:rPr>
        <w:t>, la jurisprudence suggère d’appliquer la méthodologie suivante :</w:t>
      </w:r>
    </w:p>
    <w:p w:rsidR="00D33D8E" w:rsidRPr="00D33D8E" w:rsidRDefault="00D33D8E" w:rsidP="00D33D8E">
      <w:pPr>
        <w:jc w:val="both"/>
        <w:rPr>
          <w:rFonts w:asciiTheme="minorHAnsi" w:hAnsiTheme="minorHAnsi" w:cstheme="minorHAnsi"/>
          <w:iCs/>
          <w:snapToGrid w:val="0"/>
          <w:sz w:val="22"/>
          <w:szCs w:val="22"/>
          <w:lang w:eastAsia="fr-FR"/>
        </w:rPr>
      </w:pPr>
    </w:p>
    <w:p w:rsidR="00D33D8E" w:rsidRPr="0081223F" w:rsidRDefault="0081223F" w:rsidP="0081223F">
      <w:pPr>
        <w:pStyle w:val="Paragraphedeliste"/>
        <w:numPr>
          <w:ilvl w:val="0"/>
          <w:numId w:val="14"/>
        </w:numPr>
        <w:jc w:val="both"/>
        <w:rPr>
          <w:rFonts w:asciiTheme="minorHAnsi" w:hAnsiTheme="minorHAnsi" w:cstheme="minorHAnsi"/>
          <w:iCs/>
          <w:snapToGrid w:val="0"/>
          <w:sz w:val="22"/>
          <w:szCs w:val="22"/>
          <w:lang w:eastAsia="fr-FR"/>
        </w:rPr>
      </w:pPr>
      <w:r>
        <w:rPr>
          <w:rFonts w:asciiTheme="minorHAnsi" w:hAnsiTheme="minorHAnsi" w:cstheme="minorHAnsi"/>
          <w:iCs/>
          <w:snapToGrid w:val="0"/>
          <w:sz w:val="22"/>
          <w:szCs w:val="22"/>
          <w:lang w:eastAsia="fr-FR"/>
        </w:rPr>
        <w:t>V</w:t>
      </w:r>
      <w:r w:rsidR="00D33D8E" w:rsidRPr="0081223F">
        <w:rPr>
          <w:rFonts w:asciiTheme="minorHAnsi" w:hAnsiTheme="minorHAnsi" w:cstheme="minorHAnsi"/>
          <w:iCs/>
          <w:snapToGrid w:val="0"/>
          <w:sz w:val="22"/>
          <w:szCs w:val="22"/>
          <w:lang w:eastAsia="fr-FR"/>
        </w:rPr>
        <w:t>érifier l’existence ou non d’un recul significatif opéré par le législateur. C’est le niveau de protection qui était reconnu juste avant l’adoption de la réforme litigieuse</w:t>
      </w:r>
      <w:r w:rsidR="00D33D8E" w:rsidRPr="00D33D8E">
        <w:rPr>
          <w:snapToGrid w:val="0"/>
          <w:vertAlign w:val="superscript"/>
          <w:lang w:eastAsia="fr-FR"/>
        </w:rPr>
        <w:footnoteReference w:id="5"/>
      </w:r>
      <w:r w:rsidR="00D33D8E" w:rsidRPr="0081223F">
        <w:rPr>
          <w:rFonts w:asciiTheme="minorHAnsi" w:hAnsiTheme="minorHAnsi" w:cstheme="minorHAnsi"/>
          <w:iCs/>
          <w:snapToGrid w:val="0"/>
          <w:sz w:val="22"/>
          <w:szCs w:val="22"/>
          <w:lang w:eastAsia="fr-FR"/>
        </w:rPr>
        <w:t xml:space="preserve"> qui est pris en considération</w:t>
      </w:r>
      <w:r w:rsidR="00D33D8E" w:rsidRPr="00D33D8E">
        <w:rPr>
          <w:snapToGrid w:val="0"/>
          <w:vertAlign w:val="superscript"/>
          <w:lang w:eastAsia="fr-FR"/>
        </w:rPr>
        <w:footnoteReference w:id="6"/>
      </w:r>
      <w:r>
        <w:rPr>
          <w:rFonts w:asciiTheme="minorHAnsi" w:hAnsiTheme="minorHAnsi" w:cstheme="minorHAnsi"/>
          <w:iCs/>
          <w:snapToGrid w:val="0"/>
          <w:sz w:val="22"/>
          <w:szCs w:val="22"/>
          <w:lang w:eastAsia="fr-FR"/>
        </w:rPr>
        <w:t>.</w:t>
      </w:r>
    </w:p>
    <w:p w:rsidR="00D33D8E" w:rsidRPr="0081223F" w:rsidRDefault="0081223F" w:rsidP="0081223F">
      <w:pPr>
        <w:pStyle w:val="Paragraphedeliste"/>
        <w:numPr>
          <w:ilvl w:val="0"/>
          <w:numId w:val="14"/>
        </w:numPr>
        <w:jc w:val="both"/>
        <w:rPr>
          <w:rFonts w:asciiTheme="minorHAnsi" w:hAnsiTheme="minorHAnsi" w:cstheme="minorHAnsi"/>
          <w:iCs/>
          <w:snapToGrid w:val="0"/>
          <w:sz w:val="22"/>
          <w:szCs w:val="22"/>
          <w:lang w:eastAsia="fr-FR"/>
        </w:rPr>
      </w:pPr>
      <w:r>
        <w:rPr>
          <w:rFonts w:asciiTheme="minorHAnsi" w:hAnsiTheme="minorHAnsi" w:cstheme="minorHAnsi"/>
          <w:iCs/>
          <w:snapToGrid w:val="0"/>
          <w:sz w:val="22"/>
          <w:szCs w:val="22"/>
          <w:lang w:eastAsia="fr-FR"/>
        </w:rPr>
        <w:t>V</w:t>
      </w:r>
      <w:r w:rsidR="00D33D8E" w:rsidRPr="0081223F">
        <w:rPr>
          <w:rFonts w:asciiTheme="minorHAnsi" w:hAnsiTheme="minorHAnsi" w:cstheme="minorHAnsi"/>
          <w:iCs/>
          <w:snapToGrid w:val="0"/>
          <w:sz w:val="22"/>
          <w:szCs w:val="22"/>
          <w:lang w:eastAsia="fr-FR"/>
        </w:rPr>
        <w:t>érifier si la mesure en question est prévue ou pas par la loi (test de légalité)</w:t>
      </w:r>
      <w:r>
        <w:rPr>
          <w:rFonts w:asciiTheme="minorHAnsi" w:hAnsiTheme="minorHAnsi" w:cstheme="minorHAnsi"/>
          <w:iCs/>
          <w:snapToGrid w:val="0"/>
          <w:sz w:val="22"/>
          <w:szCs w:val="22"/>
          <w:lang w:eastAsia="fr-FR"/>
        </w:rPr>
        <w:t>.</w:t>
      </w:r>
      <w:r w:rsidR="00D33D8E" w:rsidRPr="0081223F">
        <w:rPr>
          <w:rFonts w:asciiTheme="minorHAnsi" w:hAnsiTheme="minorHAnsi" w:cstheme="minorHAnsi"/>
          <w:iCs/>
          <w:snapToGrid w:val="0"/>
          <w:sz w:val="22"/>
          <w:szCs w:val="22"/>
          <w:lang w:eastAsia="fr-FR"/>
        </w:rPr>
        <w:t xml:space="preserve"> </w:t>
      </w:r>
    </w:p>
    <w:p w:rsidR="00D33D8E" w:rsidRPr="0081223F" w:rsidRDefault="0081223F" w:rsidP="0081223F">
      <w:pPr>
        <w:pStyle w:val="Paragraphedeliste"/>
        <w:numPr>
          <w:ilvl w:val="0"/>
          <w:numId w:val="14"/>
        </w:numPr>
        <w:jc w:val="both"/>
        <w:rPr>
          <w:rFonts w:asciiTheme="minorHAnsi" w:hAnsiTheme="minorHAnsi" w:cstheme="minorHAnsi"/>
          <w:iCs/>
          <w:snapToGrid w:val="0"/>
          <w:sz w:val="22"/>
          <w:szCs w:val="22"/>
          <w:lang w:eastAsia="fr-FR"/>
        </w:rPr>
      </w:pPr>
      <w:r>
        <w:rPr>
          <w:rFonts w:asciiTheme="minorHAnsi" w:hAnsiTheme="minorHAnsi" w:cstheme="minorHAnsi"/>
          <w:iCs/>
          <w:snapToGrid w:val="0"/>
          <w:sz w:val="22"/>
          <w:szCs w:val="22"/>
          <w:lang w:eastAsia="fr-FR"/>
        </w:rPr>
        <w:t>V</w:t>
      </w:r>
      <w:r w:rsidR="00D33D8E" w:rsidRPr="0081223F">
        <w:rPr>
          <w:rFonts w:asciiTheme="minorHAnsi" w:hAnsiTheme="minorHAnsi" w:cstheme="minorHAnsi"/>
          <w:iCs/>
          <w:snapToGrid w:val="0"/>
          <w:sz w:val="22"/>
          <w:szCs w:val="22"/>
          <w:lang w:eastAsia="fr-FR"/>
        </w:rPr>
        <w:t>érifier si elle poursuit un but d’intérê</w:t>
      </w:r>
      <w:r>
        <w:rPr>
          <w:rFonts w:asciiTheme="minorHAnsi" w:hAnsiTheme="minorHAnsi" w:cstheme="minorHAnsi"/>
          <w:iCs/>
          <w:snapToGrid w:val="0"/>
          <w:sz w:val="22"/>
          <w:szCs w:val="22"/>
          <w:lang w:eastAsia="fr-FR"/>
        </w:rPr>
        <w:t>t général (test de légitimité).</w:t>
      </w:r>
    </w:p>
    <w:p w:rsidR="00D33D8E" w:rsidRPr="0081223F" w:rsidRDefault="0081223F" w:rsidP="0081223F">
      <w:pPr>
        <w:pStyle w:val="Paragraphedeliste"/>
        <w:numPr>
          <w:ilvl w:val="0"/>
          <w:numId w:val="14"/>
        </w:numPr>
        <w:jc w:val="both"/>
        <w:rPr>
          <w:rFonts w:asciiTheme="minorHAnsi" w:hAnsiTheme="minorHAnsi" w:cstheme="minorHAnsi"/>
          <w:iCs/>
          <w:snapToGrid w:val="0"/>
          <w:sz w:val="22"/>
          <w:szCs w:val="22"/>
          <w:lang w:eastAsia="fr-FR"/>
        </w:rPr>
      </w:pPr>
      <w:r>
        <w:rPr>
          <w:rFonts w:asciiTheme="minorHAnsi" w:hAnsiTheme="minorHAnsi" w:cstheme="minorHAnsi"/>
          <w:iCs/>
          <w:snapToGrid w:val="0"/>
          <w:sz w:val="22"/>
          <w:szCs w:val="22"/>
          <w:lang w:eastAsia="fr-FR"/>
        </w:rPr>
        <w:t>V</w:t>
      </w:r>
      <w:r w:rsidR="00D33D8E" w:rsidRPr="0081223F">
        <w:rPr>
          <w:rFonts w:asciiTheme="minorHAnsi" w:hAnsiTheme="minorHAnsi" w:cstheme="minorHAnsi"/>
          <w:iCs/>
          <w:snapToGrid w:val="0"/>
          <w:sz w:val="22"/>
          <w:szCs w:val="22"/>
          <w:lang w:eastAsia="fr-FR"/>
        </w:rPr>
        <w:t>érifier si elle est proportionnée à ce but d’intérêt général (test de proportionnalité). A ce stade, il convient d’examiner si la mesure est appropriée, nécessaire et proportionnelle à l’objectif poursuivi.</w:t>
      </w: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iCs/>
          <w:snapToGrid w:val="0"/>
          <w:sz w:val="22"/>
          <w:szCs w:val="22"/>
          <w:lang w:eastAsia="fr-FR"/>
        </w:rPr>
        <w:t xml:space="preserve"> </w:t>
      </w: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iCs/>
          <w:snapToGrid w:val="0"/>
          <w:sz w:val="22"/>
          <w:szCs w:val="22"/>
          <w:lang w:eastAsia="fr-FR"/>
        </w:rPr>
        <w:t xml:space="preserve">Autrement dit, lorsque l’existence d’un recul significatif entre la norme litigieuse et la norme de base est établie, il convient de vérifier, d’une part, le motif d’intérêt général qui a présidé à cette régression, et, d’autre part, de montrer en quoi celle-ci est, </w:t>
      </w:r>
      <w:r w:rsidRPr="00D33D8E">
        <w:rPr>
          <w:rFonts w:asciiTheme="minorHAnsi" w:hAnsiTheme="minorHAnsi" w:cstheme="minorHAnsi"/>
          <w:i/>
          <w:iCs/>
          <w:snapToGrid w:val="0"/>
          <w:sz w:val="22"/>
          <w:szCs w:val="22"/>
          <w:lang w:eastAsia="fr-FR"/>
        </w:rPr>
        <w:t xml:space="preserve">in </w:t>
      </w:r>
      <w:proofErr w:type="spellStart"/>
      <w:r w:rsidRPr="00D33D8E">
        <w:rPr>
          <w:rFonts w:asciiTheme="minorHAnsi" w:hAnsiTheme="minorHAnsi" w:cstheme="minorHAnsi"/>
          <w:i/>
          <w:iCs/>
          <w:snapToGrid w:val="0"/>
          <w:sz w:val="22"/>
          <w:szCs w:val="22"/>
          <w:lang w:eastAsia="fr-FR"/>
        </w:rPr>
        <w:t>casu</w:t>
      </w:r>
      <w:proofErr w:type="spellEnd"/>
      <w:r w:rsidRPr="00D33D8E">
        <w:rPr>
          <w:rFonts w:asciiTheme="minorHAnsi" w:hAnsiTheme="minorHAnsi" w:cstheme="minorHAnsi"/>
          <w:iCs/>
          <w:snapToGrid w:val="0"/>
          <w:sz w:val="22"/>
          <w:szCs w:val="22"/>
          <w:lang w:eastAsia="fr-FR"/>
        </w:rPr>
        <w:t>, appropriée, nécessaire et proportionnée (au sens strict) à l’objectif légitime identifié</w:t>
      </w:r>
      <w:r w:rsidRPr="00D33D8E">
        <w:rPr>
          <w:rFonts w:asciiTheme="minorHAnsi" w:hAnsiTheme="minorHAnsi" w:cstheme="minorHAnsi"/>
          <w:iCs/>
          <w:snapToGrid w:val="0"/>
          <w:sz w:val="22"/>
          <w:szCs w:val="22"/>
          <w:vertAlign w:val="superscript"/>
          <w:lang w:eastAsia="fr-FR"/>
        </w:rPr>
        <w:footnoteReference w:id="7"/>
      </w:r>
      <w:r w:rsidRPr="00D33D8E">
        <w:rPr>
          <w:rFonts w:asciiTheme="minorHAnsi" w:hAnsiTheme="minorHAnsi" w:cstheme="minorHAnsi"/>
          <w:iCs/>
          <w:snapToGrid w:val="0"/>
          <w:sz w:val="22"/>
          <w:szCs w:val="22"/>
          <w:lang w:eastAsia="fr-FR"/>
        </w:rPr>
        <w:t>.</w:t>
      </w:r>
    </w:p>
    <w:p w:rsidR="00D33D8E" w:rsidRPr="00D33D8E" w:rsidRDefault="00D33D8E" w:rsidP="00D33D8E">
      <w:pPr>
        <w:jc w:val="both"/>
        <w:rPr>
          <w:rFonts w:asciiTheme="minorHAnsi" w:hAnsiTheme="minorHAnsi" w:cstheme="minorHAnsi"/>
          <w:iCs/>
          <w:snapToGrid w:val="0"/>
          <w:sz w:val="22"/>
          <w:szCs w:val="22"/>
          <w:lang w:eastAsia="fr-FR"/>
        </w:rPr>
      </w:pPr>
    </w:p>
    <w:p w:rsidR="00D33D8E" w:rsidRPr="00D33D8E" w:rsidRDefault="00D33D8E" w:rsidP="00D33D8E">
      <w:pPr>
        <w:jc w:val="both"/>
        <w:rPr>
          <w:rFonts w:asciiTheme="minorHAnsi" w:hAnsiTheme="minorHAnsi" w:cstheme="minorHAnsi"/>
          <w:iCs/>
          <w:snapToGrid w:val="0"/>
          <w:sz w:val="22"/>
          <w:szCs w:val="22"/>
          <w:lang w:eastAsia="fr-FR"/>
        </w:rPr>
      </w:pPr>
      <w:r w:rsidRPr="00D33D8E">
        <w:rPr>
          <w:rFonts w:asciiTheme="minorHAnsi" w:hAnsiTheme="minorHAnsi" w:cstheme="minorHAnsi"/>
          <w:iCs/>
          <w:snapToGrid w:val="0"/>
          <w:sz w:val="22"/>
          <w:szCs w:val="22"/>
          <w:lang w:eastAsia="fr-FR"/>
        </w:rPr>
        <w:t xml:space="preserve">Le principe de </w:t>
      </w:r>
      <w:proofErr w:type="spellStart"/>
      <w:r w:rsidRPr="00D33D8E">
        <w:rPr>
          <w:rFonts w:asciiTheme="minorHAnsi" w:hAnsiTheme="minorHAnsi" w:cstheme="minorHAnsi"/>
          <w:i/>
          <w:iCs/>
          <w:snapToGrid w:val="0"/>
          <w:sz w:val="22"/>
          <w:szCs w:val="22"/>
          <w:lang w:eastAsia="fr-FR"/>
        </w:rPr>
        <w:t>standstill</w:t>
      </w:r>
      <w:proofErr w:type="spellEnd"/>
      <w:r w:rsidRPr="00D33D8E">
        <w:rPr>
          <w:rFonts w:asciiTheme="minorHAnsi" w:hAnsiTheme="minorHAnsi" w:cstheme="minorHAnsi"/>
          <w:i/>
          <w:iCs/>
          <w:snapToGrid w:val="0"/>
          <w:sz w:val="22"/>
          <w:szCs w:val="22"/>
          <w:lang w:eastAsia="fr-FR"/>
        </w:rPr>
        <w:t xml:space="preserve"> </w:t>
      </w:r>
      <w:r w:rsidRPr="00D33D8E">
        <w:rPr>
          <w:rFonts w:asciiTheme="minorHAnsi" w:hAnsiTheme="minorHAnsi" w:cstheme="minorHAnsi"/>
          <w:iCs/>
          <w:snapToGrid w:val="0"/>
          <w:sz w:val="22"/>
          <w:szCs w:val="22"/>
          <w:lang w:eastAsia="fr-FR"/>
        </w:rPr>
        <w:t xml:space="preserve">implique une répartition de la charge de la preuve : </w:t>
      </w:r>
      <w:r w:rsidRPr="00D33D8E">
        <w:rPr>
          <w:rFonts w:asciiTheme="minorHAnsi" w:hAnsiTheme="minorHAnsi" w:cstheme="minorHAnsi"/>
          <w:i/>
          <w:iCs/>
          <w:snapToGrid w:val="0"/>
          <w:sz w:val="22"/>
          <w:szCs w:val="22"/>
          <w:lang w:eastAsia="fr-FR"/>
        </w:rPr>
        <w:t>il appartient au requérant de démontrer un amoindrissement du niveau de protection préalablement reconnu à un droit fondamental, tandis qu’il appartient à l’autorité normative de prouver la légitimité et la proportionnalité de la disposition (significativement) régressive épinglée</w:t>
      </w:r>
      <w:r w:rsidRPr="00D33D8E">
        <w:rPr>
          <w:rFonts w:asciiTheme="minorHAnsi" w:hAnsiTheme="minorHAnsi" w:cstheme="minorHAnsi"/>
          <w:iCs/>
          <w:snapToGrid w:val="0"/>
          <w:sz w:val="22"/>
          <w:szCs w:val="22"/>
          <w:vertAlign w:val="superscript"/>
          <w:lang w:eastAsia="fr-FR"/>
        </w:rPr>
        <w:footnoteReference w:id="8"/>
      </w:r>
      <w:r w:rsidRPr="00D33D8E">
        <w:rPr>
          <w:rFonts w:asciiTheme="minorHAnsi" w:hAnsiTheme="minorHAnsi" w:cstheme="minorHAnsi"/>
          <w:iCs/>
          <w:snapToGrid w:val="0"/>
          <w:sz w:val="22"/>
          <w:szCs w:val="22"/>
          <w:lang w:eastAsia="fr-FR"/>
        </w:rPr>
        <w:t>.</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3.</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bookmarkStart w:id="6" w:name="_Hlk95812811"/>
      <w:r w:rsidRPr="00D33D8E">
        <w:rPr>
          <w:rFonts w:asciiTheme="minorHAnsi" w:eastAsia="Times New Roman" w:hAnsiTheme="minorHAnsi" w:cstheme="minorHAnsi"/>
          <w:sz w:val="22"/>
          <w:szCs w:val="22"/>
        </w:rPr>
        <w:t xml:space="preserve">L’article 26, §1er </w:t>
      </w:r>
      <w:bookmarkEnd w:id="6"/>
      <w:r w:rsidRPr="00D33D8E">
        <w:rPr>
          <w:rFonts w:asciiTheme="minorHAnsi" w:eastAsia="Times New Roman" w:hAnsiTheme="minorHAnsi" w:cstheme="minorHAnsi"/>
          <w:sz w:val="22"/>
          <w:szCs w:val="22"/>
        </w:rPr>
        <w:t>de la loi spéciale sur la Cour constitutionnelle du 6 janvier 1989 dispose que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 La Cour constitutionnelle statue, à titre préjudiciel, par voie d'arrêt, sur les questions relatives </w:t>
      </w:r>
      <w:proofErr w:type="spellStart"/>
      <w:r w:rsidRPr="00D33D8E">
        <w:rPr>
          <w:rFonts w:asciiTheme="minorHAnsi" w:eastAsia="Times New Roman" w:hAnsiTheme="minorHAnsi" w:cstheme="minorHAnsi"/>
          <w:i/>
          <w:iCs/>
          <w:sz w:val="22"/>
          <w:szCs w:val="22"/>
        </w:rPr>
        <w:t>à</w:t>
      </w:r>
      <w:proofErr w:type="spellEnd"/>
      <w:r w:rsidRPr="00D33D8E">
        <w:rPr>
          <w:rFonts w:asciiTheme="minorHAnsi" w:eastAsia="Times New Roman" w:hAnsiTheme="minorHAnsi" w:cstheme="minorHAnsi"/>
          <w:i/>
          <w:iCs/>
          <w:sz w:val="22"/>
          <w:szCs w:val="22"/>
        </w:rPr>
        <w:t xml:space="preserve">: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3° la violation par une loi, un décret ou une règle visée à l'article 134 de la Constitution, des articles du titre II " Des Belges et de leurs droits ", et des articles 170, 172 et 191 de la Constitution ».</w:t>
      </w:r>
    </w:p>
    <w:p w:rsidR="00D33D8E" w:rsidRPr="00D33D8E" w:rsidRDefault="00D33D8E" w:rsidP="00D33D8E">
      <w:pPr>
        <w:spacing w:before="285" w:line="264" w:lineRule="exact"/>
        <w:ind w:right="72"/>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L’article 26, §2 de cette même loi dispose que :</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 xml:space="preserve">« § 2. Lorsqu'une telle question est soulevée devant une juridiction, celle-ci doit demander à la </w:t>
      </w:r>
      <w:bookmarkStart w:id="7" w:name="hit33"/>
      <w:bookmarkEnd w:id="7"/>
      <w:r w:rsidRPr="00D33D8E">
        <w:rPr>
          <w:rFonts w:asciiTheme="minorHAnsi" w:eastAsia="Times New Roman" w:hAnsiTheme="minorHAnsi" w:cstheme="minorHAnsi"/>
          <w:i/>
          <w:iCs/>
          <w:sz w:val="22"/>
          <w:szCs w:val="22"/>
        </w:rPr>
        <w:t>Cour</w:t>
      </w:r>
      <w:bookmarkStart w:id="8" w:name="hit34"/>
      <w:bookmarkEnd w:id="8"/>
      <w:r w:rsidRPr="00D33D8E">
        <w:rPr>
          <w:rFonts w:asciiTheme="minorHAnsi" w:eastAsia="Times New Roman" w:hAnsiTheme="minorHAnsi" w:cstheme="minorHAnsi"/>
          <w:i/>
          <w:iCs/>
          <w:sz w:val="22"/>
          <w:szCs w:val="22"/>
        </w:rPr>
        <w:t xml:space="preserve"> constitutionnelle de statuer sur cette question.</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Toutefois, la juridiction n'y est pas tenue :</w:t>
      </w:r>
    </w:p>
    <w:p w:rsidR="00D33D8E" w:rsidRPr="00047C26" w:rsidRDefault="00D33D8E" w:rsidP="00047C26">
      <w:pPr>
        <w:pStyle w:val="Paragraphedeliste"/>
        <w:numPr>
          <w:ilvl w:val="0"/>
          <w:numId w:val="15"/>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bookmarkStart w:id="9" w:name="_Hlk95920738"/>
      <w:r w:rsidRPr="00047C26">
        <w:rPr>
          <w:rFonts w:asciiTheme="minorHAnsi" w:eastAsia="Times New Roman" w:hAnsiTheme="minorHAnsi" w:cstheme="minorHAnsi"/>
          <w:i/>
          <w:iCs/>
          <w:sz w:val="22"/>
          <w:szCs w:val="22"/>
        </w:rPr>
        <w:t>lorsque l'affaire ne peut être examinée par ladite juridiction pour des motifs d'incompétence ou de non-recevabilité, sauf si ces motifs sont tirés de normes faisant elles-mêmes l'objet de la demande de question préjudicielle ;</w:t>
      </w:r>
    </w:p>
    <w:p w:rsidR="00D33D8E" w:rsidRPr="00047C26" w:rsidRDefault="00D33D8E" w:rsidP="00047C26">
      <w:pPr>
        <w:pStyle w:val="Paragraphedeliste"/>
        <w:numPr>
          <w:ilvl w:val="0"/>
          <w:numId w:val="15"/>
        </w:num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047C26">
        <w:rPr>
          <w:rFonts w:asciiTheme="minorHAnsi" w:eastAsia="Times New Roman" w:hAnsiTheme="minorHAnsi" w:cstheme="minorHAnsi"/>
          <w:i/>
          <w:iCs/>
          <w:sz w:val="22"/>
          <w:szCs w:val="22"/>
        </w:rPr>
        <w:t xml:space="preserve">lorsque la </w:t>
      </w:r>
      <w:bookmarkStart w:id="10" w:name="hit35"/>
      <w:bookmarkEnd w:id="10"/>
      <w:r w:rsidRPr="00047C26">
        <w:rPr>
          <w:rFonts w:asciiTheme="minorHAnsi" w:eastAsia="Times New Roman" w:hAnsiTheme="minorHAnsi" w:cstheme="minorHAnsi"/>
          <w:i/>
          <w:iCs/>
          <w:sz w:val="22"/>
          <w:szCs w:val="22"/>
        </w:rPr>
        <w:t xml:space="preserve">Cour </w:t>
      </w:r>
      <w:bookmarkStart w:id="11" w:name="hit36"/>
      <w:bookmarkEnd w:id="11"/>
      <w:r w:rsidRPr="00047C26">
        <w:rPr>
          <w:rFonts w:asciiTheme="minorHAnsi" w:eastAsia="Times New Roman" w:hAnsiTheme="minorHAnsi" w:cstheme="minorHAnsi"/>
          <w:i/>
          <w:iCs/>
          <w:sz w:val="22"/>
          <w:szCs w:val="22"/>
        </w:rPr>
        <w:t>constitutionnelle a déjà statué sur une question ou un recours ayant un objet identique.</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i/>
          <w:iCs/>
          <w:sz w:val="22"/>
          <w:szCs w:val="22"/>
        </w:rPr>
      </w:pPr>
      <w:r w:rsidRPr="00D33D8E">
        <w:rPr>
          <w:rFonts w:asciiTheme="minorHAnsi" w:eastAsia="Times New Roman" w:hAnsiTheme="minorHAnsi" w:cstheme="minorHAnsi"/>
          <w:i/>
          <w:iCs/>
          <w:sz w:val="22"/>
          <w:szCs w:val="22"/>
        </w:rPr>
        <w:t>La juridiction, dont la décision est susceptible, selon le cas, d'appel, d'opposition, de pourvoi en cassation ou de recours en annulation au Conseil d'Etat, n'y est pas tenue non plus si la loi, le décret ou la règle visée à l'article 134 de la Constitution ne viole manifestement pas une règle ou un article de la Constitution visés au § 1 ou lorsque la juridiction estime que la réponse à la question préjudicielle n'est pas indispensable pour rendre sa décision ».</w:t>
      </w:r>
    </w:p>
    <w:bookmarkEnd w:id="9"/>
    <w:p w:rsidR="00D33D8E" w:rsidRPr="00D33D8E" w:rsidRDefault="00D33D8E" w:rsidP="00D33D8E">
      <w:pPr>
        <w:tabs>
          <w:tab w:val="left" w:pos="-2834"/>
          <w:tab w:val="left" w:pos="-2114"/>
          <w:tab w:val="left" w:pos="-1394"/>
          <w:tab w:val="left" w:pos="-674"/>
          <w:tab w:val="left" w:pos="2008"/>
        </w:tabs>
        <w:rPr>
          <w:rFonts w:asciiTheme="minorHAnsi" w:eastAsia="Times New Roman" w:hAnsiTheme="minorHAnsi" w:cstheme="minorHAnsi"/>
          <w:sz w:val="22"/>
          <w:szCs w:val="22"/>
        </w:rPr>
      </w:pPr>
      <w:r w:rsidRPr="00D33D8E">
        <w:rPr>
          <w:rFonts w:asciiTheme="minorHAnsi" w:eastAsia="Times New Roman" w:hAnsiTheme="minorHAnsi" w:cstheme="minorHAnsi"/>
          <w:i/>
          <w:iCs/>
          <w:sz w:val="22"/>
          <w:szCs w:val="22"/>
        </w:rPr>
        <w:t xml:space="preserve"> </w:t>
      </w:r>
      <w:r w:rsidRPr="00D33D8E">
        <w:rPr>
          <w:rFonts w:asciiTheme="minorHAnsi" w:eastAsia="Times New Roman" w:hAnsiTheme="minorHAnsi" w:cstheme="minorHAnsi"/>
          <w:i/>
          <w:iCs/>
          <w:sz w:val="22"/>
          <w:szCs w:val="22"/>
        </w:rPr>
        <w:br/>
      </w:r>
      <w:r w:rsidRPr="00D33D8E">
        <w:rPr>
          <w:rFonts w:asciiTheme="minorHAnsi" w:eastAsia="Times New Roman" w:hAnsiTheme="minorHAnsi" w:cstheme="minorHAnsi"/>
          <w:b/>
          <w:i/>
          <w:spacing w:val="-2"/>
          <w:sz w:val="22"/>
          <w:szCs w:val="22"/>
        </w:rPr>
        <w:t>3. Discussion</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1.</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Madame </w:t>
      </w:r>
      <w:r w:rsidR="00173794">
        <w:rPr>
          <w:rFonts w:asciiTheme="minorHAnsi" w:eastAsia="Times New Roman" w:hAnsiTheme="minorHAnsi" w:cstheme="minorHAnsi"/>
          <w:sz w:val="22"/>
          <w:szCs w:val="22"/>
        </w:rPr>
        <w:t>B</w:t>
      </w:r>
      <w:r w:rsidRPr="00D33D8E">
        <w:rPr>
          <w:rFonts w:asciiTheme="minorHAnsi" w:eastAsia="Times New Roman" w:hAnsiTheme="minorHAnsi" w:cstheme="minorHAnsi"/>
          <w:sz w:val="22"/>
          <w:szCs w:val="22"/>
        </w:rPr>
        <w:t xml:space="preserve"> sollicite l’écartement de la norme litigieuse sur base de l’article 159 de la Constitu</w:t>
      </w:r>
      <w:r w:rsidR="00047C26">
        <w:rPr>
          <w:rFonts w:asciiTheme="minorHAnsi" w:eastAsia="Times New Roman" w:hAnsiTheme="minorHAnsi" w:cstheme="minorHAnsi"/>
          <w:sz w:val="22"/>
          <w:szCs w:val="22"/>
        </w:rPr>
        <w:t>t</w:t>
      </w:r>
      <w:r w:rsidRPr="00D33D8E">
        <w:rPr>
          <w:rFonts w:asciiTheme="minorHAnsi" w:eastAsia="Times New Roman" w:hAnsiTheme="minorHAnsi" w:cstheme="minorHAnsi"/>
          <w:sz w:val="22"/>
          <w:szCs w:val="22"/>
        </w:rPr>
        <w:t>ion et, à titre subsidiaire, que le tribunal interroge la Cour constitutionnelle.</w:t>
      </w:r>
    </w:p>
    <w:p w:rsidR="00D33D8E" w:rsidRPr="00D33D8E" w:rsidRDefault="00D33D8E" w:rsidP="00D33D8E">
      <w:pPr>
        <w:rPr>
          <w:rFonts w:asciiTheme="minorHAnsi" w:eastAsia="Times New Roman" w:hAnsiTheme="minorHAnsi" w:cstheme="minorHAnsi"/>
          <w:sz w:val="22"/>
          <w:szCs w:val="22"/>
          <w:lang w:eastAsia="fr-FR"/>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Dans son avis écrit, Madame l’Auditeur du travail invite également le tribunal à poser une question préjudicielle à la Cour constitutionnelle.</w:t>
      </w: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2.</w:t>
      </w:r>
    </w:p>
    <w:p w:rsidR="00D33D8E" w:rsidRPr="00D33D8E" w:rsidRDefault="00D33D8E" w:rsidP="00D33D8E">
      <w:pPr>
        <w:jc w:val="both"/>
        <w:rPr>
          <w:rFonts w:asciiTheme="minorHAnsi" w:hAnsiTheme="minorHAnsi" w:cstheme="minorHAnsi"/>
          <w:snapToGrid w:val="0"/>
          <w:sz w:val="22"/>
          <w:szCs w:val="22"/>
          <w:lang w:eastAsia="fr-FR"/>
        </w:rPr>
      </w:pPr>
      <w:r w:rsidRPr="00D33D8E">
        <w:rPr>
          <w:rFonts w:asciiTheme="minorHAnsi" w:hAnsiTheme="minorHAnsi" w:cstheme="minorHAnsi"/>
          <w:snapToGrid w:val="0"/>
          <w:sz w:val="22"/>
          <w:szCs w:val="22"/>
          <w:lang w:eastAsia="fr-FR"/>
        </w:rPr>
        <w:t xml:space="preserve">En l’espèce, la question se pose de savoir si, en supprimant les compléments de reprise du travail ordinaire, le législateur wallon n'a pas violé l'obligation de </w:t>
      </w:r>
      <w:proofErr w:type="spellStart"/>
      <w:r w:rsidRPr="00D33D8E">
        <w:rPr>
          <w:rFonts w:asciiTheme="minorHAnsi" w:hAnsiTheme="minorHAnsi" w:cstheme="minorHAnsi"/>
          <w:snapToGrid w:val="0"/>
          <w:sz w:val="22"/>
          <w:szCs w:val="22"/>
          <w:lang w:eastAsia="fr-FR"/>
        </w:rPr>
        <w:t>standstill</w:t>
      </w:r>
      <w:proofErr w:type="spellEnd"/>
      <w:r w:rsidRPr="00D33D8E">
        <w:rPr>
          <w:rFonts w:asciiTheme="minorHAnsi" w:hAnsiTheme="minorHAnsi" w:cstheme="minorHAnsi"/>
          <w:snapToGrid w:val="0"/>
          <w:sz w:val="22"/>
          <w:szCs w:val="22"/>
          <w:lang w:eastAsia="fr-FR"/>
        </w:rPr>
        <w:t xml:space="preserve">, puisqu’en l’espèce, Madame </w:t>
      </w:r>
      <w:r w:rsidR="00173794">
        <w:rPr>
          <w:rFonts w:asciiTheme="minorHAnsi" w:hAnsiTheme="minorHAnsi" w:cstheme="minorHAnsi"/>
          <w:snapToGrid w:val="0"/>
          <w:sz w:val="22"/>
          <w:szCs w:val="22"/>
          <w:lang w:eastAsia="fr-FR"/>
        </w:rPr>
        <w:t>B</w:t>
      </w:r>
      <w:r w:rsidRPr="00D33D8E">
        <w:rPr>
          <w:rFonts w:asciiTheme="minorHAnsi" w:hAnsiTheme="minorHAnsi" w:cstheme="minorHAnsi"/>
          <w:snapToGrid w:val="0"/>
          <w:sz w:val="22"/>
          <w:szCs w:val="22"/>
          <w:lang w:eastAsia="fr-FR"/>
        </w:rPr>
        <w:t xml:space="preserve"> aurait continué à bénéficier du complément de reprise du travail au-delà du </w:t>
      </w:r>
      <w:r w:rsidR="00047C26">
        <w:rPr>
          <w:rFonts w:asciiTheme="minorHAnsi" w:hAnsiTheme="minorHAnsi" w:cstheme="minorHAnsi"/>
          <w:snapToGrid w:val="0"/>
          <w:sz w:val="22"/>
          <w:szCs w:val="22"/>
          <w:lang w:eastAsia="fr-FR"/>
        </w:rPr>
        <w:t xml:space="preserve">                                   </w:t>
      </w:r>
      <w:r w:rsidRPr="00D33D8E">
        <w:rPr>
          <w:rFonts w:asciiTheme="minorHAnsi" w:hAnsiTheme="minorHAnsi" w:cstheme="minorHAnsi"/>
          <w:snapToGrid w:val="0"/>
          <w:sz w:val="22"/>
          <w:szCs w:val="22"/>
          <w:lang w:eastAsia="fr-FR"/>
        </w:rPr>
        <w:t>1er juillet 2020 si ce dispositif n'avait pas été supprimé par le législateur wallon par son décret du 2 février 2017.</w:t>
      </w:r>
    </w:p>
    <w:p w:rsidR="00D33D8E" w:rsidRPr="00D33D8E" w:rsidRDefault="00D33D8E" w:rsidP="00D33D8E">
      <w:pPr>
        <w:jc w:val="both"/>
        <w:rPr>
          <w:rFonts w:asciiTheme="minorHAnsi" w:hAnsiTheme="minorHAnsi" w:cstheme="minorHAnsi"/>
          <w:snapToGrid w:val="0"/>
          <w:sz w:val="22"/>
          <w:szCs w:val="22"/>
          <w:lang w:eastAsia="fr-FR"/>
        </w:rPr>
      </w:pPr>
    </w:p>
    <w:p w:rsidR="00D33D8E" w:rsidRPr="00D33D8E" w:rsidRDefault="00D33D8E" w:rsidP="00D33D8E">
      <w:pPr>
        <w:jc w:val="both"/>
        <w:rPr>
          <w:rFonts w:asciiTheme="minorHAnsi" w:hAnsiTheme="minorHAnsi" w:cstheme="minorHAnsi"/>
          <w:snapToGrid w:val="0"/>
          <w:sz w:val="22"/>
          <w:szCs w:val="22"/>
          <w:lang w:eastAsia="fr-FR"/>
        </w:rPr>
      </w:pPr>
      <w:r w:rsidRPr="00D33D8E">
        <w:rPr>
          <w:rFonts w:asciiTheme="minorHAnsi" w:hAnsiTheme="minorHAnsi" w:cstheme="minorHAnsi"/>
          <w:snapToGrid w:val="0"/>
          <w:sz w:val="22"/>
          <w:szCs w:val="22"/>
          <w:lang w:eastAsia="fr-FR"/>
        </w:rPr>
        <w:t>En effet, la suppression du complément de reprise du travail ancie</w:t>
      </w:r>
      <w:r w:rsidR="00047C26">
        <w:rPr>
          <w:rFonts w:asciiTheme="minorHAnsi" w:hAnsiTheme="minorHAnsi" w:cstheme="minorHAnsi"/>
          <w:snapToGrid w:val="0"/>
          <w:sz w:val="22"/>
          <w:szCs w:val="22"/>
          <w:lang w:eastAsia="fr-FR"/>
        </w:rPr>
        <w:t>nnement prévu par l'article 129</w:t>
      </w:r>
      <w:r w:rsidRPr="00047C26">
        <w:rPr>
          <w:rFonts w:asciiTheme="minorHAnsi" w:hAnsiTheme="minorHAnsi" w:cstheme="minorHAnsi"/>
          <w:i/>
          <w:snapToGrid w:val="0"/>
          <w:sz w:val="22"/>
          <w:szCs w:val="22"/>
          <w:lang w:eastAsia="fr-FR"/>
        </w:rPr>
        <w:t>bis</w:t>
      </w:r>
      <w:r w:rsidRPr="00D33D8E">
        <w:rPr>
          <w:rFonts w:asciiTheme="minorHAnsi" w:hAnsiTheme="minorHAnsi" w:cstheme="minorHAnsi"/>
          <w:snapToGrid w:val="0"/>
          <w:sz w:val="22"/>
          <w:szCs w:val="22"/>
          <w:lang w:eastAsia="fr-FR"/>
        </w:rPr>
        <w:t xml:space="preserve"> de l'arrêté royal du 25 novembre 1991 portant réglementa</w:t>
      </w:r>
      <w:r w:rsidR="00047C26">
        <w:rPr>
          <w:rFonts w:asciiTheme="minorHAnsi" w:hAnsiTheme="minorHAnsi" w:cstheme="minorHAnsi"/>
          <w:snapToGrid w:val="0"/>
          <w:sz w:val="22"/>
          <w:szCs w:val="22"/>
          <w:lang w:eastAsia="fr-FR"/>
        </w:rPr>
        <w:t>tion du chômage - l'article 129</w:t>
      </w:r>
      <w:r w:rsidRPr="00047C26">
        <w:rPr>
          <w:rFonts w:asciiTheme="minorHAnsi" w:hAnsiTheme="minorHAnsi" w:cstheme="minorHAnsi"/>
          <w:i/>
          <w:snapToGrid w:val="0"/>
          <w:sz w:val="22"/>
          <w:szCs w:val="22"/>
          <w:lang w:eastAsia="fr-FR"/>
        </w:rPr>
        <w:t>bis</w:t>
      </w:r>
      <w:r w:rsidRPr="00D33D8E">
        <w:rPr>
          <w:rFonts w:asciiTheme="minorHAnsi" w:hAnsiTheme="minorHAnsi" w:cstheme="minorHAnsi"/>
          <w:snapToGrid w:val="0"/>
          <w:sz w:val="22"/>
          <w:szCs w:val="22"/>
          <w:lang w:eastAsia="fr-FR"/>
        </w:rPr>
        <w:t xml:space="preserve"> précité a été supprimé par le décret du 2 février 2017 relatif aux aides à l'emploi à destination des groupes-cibles, et plus particulièrement par son article 28</w:t>
      </w:r>
      <w:r w:rsidR="00047C26">
        <w:rPr>
          <w:rFonts w:asciiTheme="minorHAnsi" w:hAnsiTheme="minorHAnsi" w:cstheme="minorHAnsi"/>
          <w:snapToGrid w:val="0"/>
          <w:sz w:val="22"/>
          <w:szCs w:val="22"/>
          <w:lang w:eastAsia="fr-FR"/>
        </w:rPr>
        <w:t xml:space="preserve"> </w:t>
      </w:r>
      <w:r w:rsidRPr="00D33D8E">
        <w:rPr>
          <w:rFonts w:asciiTheme="minorHAnsi" w:hAnsiTheme="minorHAnsi" w:cstheme="minorHAnsi"/>
          <w:snapToGrid w:val="0"/>
          <w:sz w:val="22"/>
          <w:szCs w:val="22"/>
          <w:lang w:eastAsia="fr-FR"/>
        </w:rPr>
        <w:t xml:space="preserve">- crée éventuellement un recul de protection et pourrait par conséquent être considérée comme contraire à l'obligation de </w:t>
      </w:r>
      <w:proofErr w:type="spellStart"/>
      <w:r w:rsidRPr="00D33D8E">
        <w:rPr>
          <w:rFonts w:asciiTheme="minorHAnsi" w:hAnsiTheme="minorHAnsi" w:cstheme="minorHAnsi"/>
          <w:snapToGrid w:val="0"/>
          <w:sz w:val="22"/>
          <w:szCs w:val="22"/>
          <w:lang w:eastAsia="fr-FR"/>
        </w:rPr>
        <w:t>standstill</w:t>
      </w:r>
      <w:proofErr w:type="spellEnd"/>
      <w:r w:rsidRPr="00D33D8E">
        <w:rPr>
          <w:rFonts w:asciiTheme="minorHAnsi" w:hAnsiTheme="minorHAnsi" w:cstheme="minorHAnsi"/>
          <w:snapToGrid w:val="0"/>
          <w:sz w:val="22"/>
          <w:szCs w:val="22"/>
          <w:lang w:eastAsia="fr-FR"/>
        </w:rPr>
        <w:t xml:space="preserve"> telle qu'elle résulte de l'article 23 de la Constitution.</w:t>
      </w:r>
    </w:p>
    <w:p w:rsidR="00D33D8E" w:rsidRPr="00D33D8E" w:rsidRDefault="00D33D8E" w:rsidP="00D33D8E">
      <w:pPr>
        <w:spacing w:line="240" w:lineRule="atLeast"/>
        <w:jc w:val="both"/>
        <w:rPr>
          <w:rFonts w:asciiTheme="minorHAnsi" w:hAnsiTheme="minorHAnsi" w:cstheme="minorHAnsi"/>
          <w:i/>
          <w:iCs/>
          <w:spacing w:val="-3"/>
          <w:sz w:val="22"/>
          <w:szCs w:val="22"/>
        </w:rPr>
      </w:pPr>
    </w:p>
    <w:p w:rsidR="00D33D8E" w:rsidRPr="00D33D8E" w:rsidRDefault="00D33D8E" w:rsidP="00D33D8E">
      <w:pPr>
        <w:jc w:val="both"/>
        <w:rPr>
          <w:rFonts w:asciiTheme="minorHAnsi" w:hAnsiTheme="minorHAnsi" w:cstheme="minorHAnsi"/>
          <w:snapToGrid w:val="0"/>
          <w:sz w:val="22"/>
          <w:szCs w:val="22"/>
          <w:lang w:eastAsia="fr-FR"/>
        </w:rPr>
      </w:pPr>
      <w:r w:rsidRPr="00D33D8E">
        <w:rPr>
          <w:rFonts w:asciiTheme="minorHAnsi" w:hAnsiTheme="minorHAnsi" w:cstheme="minorHAnsi"/>
          <w:snapToGrid w:val="0"/>
          <w:sz w:val="22"/>
          <w:szCs w:val="22"/>
          <w:lang w:eastAsia="fr-FR"/>
        </w:rPr>
        <w:t>Si  l'article 159 de la Constitution autorise le Tribunal à écarter l'application des normes réglementaires, en revanche, seule la Cour constitutionnelle a reçu la compétence de décider, sur question préjudicielle, si un décret est contraire à l'article 23 de la Constitution.</w:t>
      </w:r>
    </w:p>
    <w:p w:rsidR="00D33D8E" w:rsidRPr="00D33D8E" w:rsidRDefault="00D33D8E" w:rsidP="00D33D8E">
      <w:pPr>
        <w:jc w:val="both"/>
        <w:rPr>
          <w:rFonts w:asciiTheme="minorHAnsi" w:hAnsiTheme="minorHAnsi" w:cstheme="minorHAnsi"/>
          <w:snapToGrid w:val="0"/>
          <w:sz w:val="22"/>
          <w:szCs w:val="22"/>
          <w:lang w:eastAsia="fr-FR"/>
        </w:rPr>
      </w:pPr>
    </w:p>
    <w:p w:rsidR="00D33D8E" w:rsidRDefault="00D33D8E"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r w:rsidRPr="00D33D8E">
        <w:rPr>
          <w:rFonts w:asciiTheme="minorHAnsi" w:hAnsiTheme="minorHAnsi" w:cstheme="minorHAnsi"/>
          <w:snapToGrid w:val="0"/>
          <w:sz w:val="22"/>
          <w:szCs w:val="22"/>
          <w:lang w:eastAsia="fr-FR"/>
        </w:rPr>
        <w:t>En l’espèce, le tribunal est tenu d’interroger la Cour constitutionnelle, aucune des exceptions visées à l’article 26</w:t>
      </w:r>
      <w:r w:rsidRPr="00D33D8E">
        <w:rPr>
          <w:rFonts w:asciiTheme="minorHAnsi" w:eastAsia="Times New Roman" w:hAnsiTheme="minorHAnsi" w:cstheme="minorHAnsi"/>
          <w:sz w:val="22"/>
          <w:szCs w:val="22"/>
        </w:rPr>
        <w:t>, §2 de la loi spéciale sur la Cour constitutionnelle du 6 janvier 1989 n’étant rencontrée en l’espèce :</w:t>
      </w:r>
    </w:p>
    <w:p w:rsidR="00047C26" w:rsidRPr="00D33D8E" w:rsidRDefault="00047C26" w:rsidP="00D33D8E">
      <w:pPr>
        <w:tabs>
          <w:tab w:val="left" w:pos="-2834"/>
          <w:tab w:val="left" w:pos="-2114"/>
          <w:tab w:val="left" w:pos="-1394"/>
          <w:tab w:val="left" w:pos="-674"/>
          <w:tab w:val="left" w:pos="2008"/>
        </w:tabs>
        <w:jc w:val="both"/>
        <w:rPr>
          <w:rFonts w:asciiTheme="minorHAnsi" w:eastAsia="Times New Roman" w:hAnsiTheme="minorHAnsi" w:cstheme="minorHAnsi"/>
          <w:sz w:val="22"/>
          <w:szCs w:val="22"/>
        </w:rPr>
      </w:pPr>
    </w:p>
    <w:p w:rsidR="00D33D8E" w:rsidRPr="00D33D8E" w:rsidRDefault="00D33D8E" w:rsidP="00D33D8E">
      <w:pPr>
        <w:pStyle w:val="Paragraphedeliste"/>
        <w:widowControl/>
        <w:numPr>
          <w:ilvl w:val="0"/>
          <w:numId w:val="8"/>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i/>
          <w:iCs/>
          <w:sz w:val="22"/>
          <w:szCs w:val="22"/>
        </w:rPr>
      </w:pPr>
      <w:r w:rsidRPr="00D33D8E">
        <w:rPr>
          <w:rFonts w:asciiTheme="minorHAnsi" w:hAnsiTheme="minorHAnsi" w:cstheme="minorHAnsi"/>
          <w:sz w:val="22"/>
          <w:szCs w:val="22"/>
        </w:rPr>
        <w:t>aucun motif de compétence ou de non-recevabilité n’est invoqué ;</w:t>
      </w:r>
    </w:p>
    <w:p w:rsidR="00D33D8E" w:rsidRPr="00D33D8E" w:rsidRDefault="00D33D8E" w:rsidP="00D33D8E">
      <w:pPr>
        <w:pStyle w:val="Paragraphedeliste"/>
        <w:widowControl/>
        <w:numPr>
          <w:ilvl w:val="0"/>
          <w:numId w:val="8"/>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i/>
          <w:iCs/>
          <w:sz w:val="22"/>
          <w:szCs w:val="22"/>
        </w:rPr>
      </w:pPr>
      <w:r w:rsidRPr="00D33D8E">
        <w:rPr>
          <w:rFonts w:asciiTheme="minorHAnsi" w:hAnsiTheme="minorHAnsi" w:cstheme="minorHAnsi"/>
          <w:sz w:val="22"/>
          <w:szCs w:val="22"/>
        </w:rPr>
        <w:t>à la connaissance du tribunal, la Cour constitutionnelle n’a, à ce jour, pas statué sur une question ayant un objet identique ;</w:t>
      </w:r>
    </w:p>
    <w:p w:rsidR="00D33D8E" w:rsidRPr="00D33D8E" w:rsidRDefault="00D33D8E" w:rsidP="00D33D8E">
      <w:pPr>
        <w:pStyle w:val="Paragraphedeliste"/>
        <w:widowControl/>
        <w:numPr>
          <w:ilvl w:val="0"/>
          <w:numId w:val="8"/>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la réponse à la question préjudicielle est indispensable à la résolution du présent litige ;</w:t>
      </w:r>
    </w:p>
    <w:p w:rsidR="00D33D8E" w:rsidRPr="00D33D8E" w:rsidRDefault="00D33D8E" w:rsidP="00D33D8E">
      <w:pPr>
        <w:pStyle w:val="Paragraphedeliste"/>
        <w:widowControl/>
        <w:numPr>
          <w:ilvl w:val="0"/>
          <w:numId w:val="8"/>
        </w:numPr>
        <w:tabs>
          <w:tab w:val="left" w:pos="-2834"/>
          <w:tab w:val="left" w:pos="-2114"/>
          <w:tab w:val="left" w:pos="-1394"/>
          <w:tab w:val="left" w:pos="-674"/>
          <w:tab w:val="left" w:pos="2008"/>
        </w:tabs>
        <w:autoSpaceDN/>
        <w:jc w:val="both"/>
        <w:textAlignment w:val="auto"/>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le tribunal ne peut conclure que la disposition visée ne viole manifestement pas l’article 23 de la Constitution.</w:t>
      </w:r>
    </w:p>
    <w:p w:rsidR="00D33D8E" w:rsidRPr="00D33D8E" w:rsidRDefault="00D33D8E" w:rsidP="00D33D8E">
      <w:pPr>
        <w:jc w:val="both"/>
        <w:rPr>
          <w:rFonts w:asciiTheme="minorHAnsi" w:hAnsiTheme="minorHAnsi" w:cstheme="minorHAnsi"/>
          <w:sz w:val="22"/>
          <w:szCs w:val="22"/>
        </w:rPr>
      </w:pPr>
    </w:p>
    <w:p w:rsidR="00D33D8E" w:rsidRPr="00D33D8E" w:rsidRDefault="00D33D8E" w:rsidP="00D33D8E">
      <w:pPr>
        <w:jc w:val="both"/>
        <w:rPr>
          <w:rFonts w:asciiTheme="minorHAnsi" w:eastAsia="Times New Roman" w:hAnsiTheme="minorHAnsi" w:cstheme="minorHAnsi"/>
          <w:sz w:val="22"/>
          <w:szCs w:val="22"/>
        </w:rPr>
      </w:pPr>
      <w:r w:rsidRPr="00D33D8E">
        <w:rPr>
          <w:rFonts w:asciiTheme="minorHAnsi" w:eastAsia="Times New Roman" w:hAnsiTheme="minorHAnsi" w:cstheme="minorHAnsi"/>
          <w:sz w:val="22"/>
          <w:szCs w:val="22"/>
        </w:rPr>
        <w:t xml:space="preserve">Le tribunal de céans ne peut dès lors, sans se substituer à la Cour constitutionnelle, apprécier la portée de l’obligation de </w:t>
      </w:r>
      <w:proofErr w:type="spellStart"/>
      <w:r w:rsidRPr="00D33D8E">
        <w:rPr>
          <w:rFonts w:asciiTheme="minorHAnsi" w:eastAsia="Times New Roman" w:hAnsiTheme="minorHAnsi" w:cstheme="minorHAnsi"/>
          <w:sz w:val="22"/>
          <w:szCs w:val="22"/>
        </w:rPr>
        <w:t>standstill</w:t>
      </w:r>
      <w:proofErr w:type="spellEnd"/>
      <w:r w:rsidRPr="00D33D8E">
        <w:rPr>
          <w:rFonts w:asciiTheme="minorHAnsi" w:eastAsia="Times New Roman" w:hAnsiTheme="minorHAnsi" w:cstheme="minorHAnsi"/>
          <w:sz w:val="22"/>
          <w:szCs w:val="22"/>
        </w:rPr>
        <w:t xml:space="preserve"> en l’espèce.  </w:t>
      </w:r>
    </w:p>
    <w:p w:rsidR="00D33D8E" w:rsidRPr="00D33D8E" w:rsidRDefault="00D33D8E" w:rsidP="00D33D8E">
      <w:pPr>
        <w:jc w:val="both"/>
        <w:rPr>
          <w:rFonts w:asciiTheme="minorHAnsi" w:eastAsia="Times New Roman" w:hAnsiTheme="minorHAnsi" w:cstheme="minorHAnsi"/>
          <w:sz w:val="22"/>
          <w:szCs w:val="22"/>
        </w:rPr>
      </w:pPr>
    </w:p>
    <w:p w:rsidR="00D33D8E" w:rsidRPr="00D33D8E" w:rsidRDefault="00D33D8E" w:rsidP="00D33D8E">
      <w:pPr>
        <w:jc w:val="both"/>
        <w:rPr>
          <w:rFonts w:asciiTheme="minorHAnsi" w:eastAsia="Times New Roman" w:hAnsiTheme="minorHAnsi" w:cstheme="minorHAnsi"/>
          <w:sz w:val="22"/>
          <w:szCs w:val="22"/>
        </w:rPr>
      </w:pPr>
      <w:r w:rsidRPr="00D33D8E">
        <w:rPr>
          <w:rFonts w:asciiTheme="minorHAnsi" w:eastAsia="Times New Roman" w:hAnsiTheme="minorHAnsi" w:cstheme="minorHAnsi"/>
          <w:spacing w:val="-3"/>
          <w:sz w:val="22"/>
          <w:szCs w:val="22"/>
        </w:rPr>
        <w:t>Partant, il y a lieu de poser une question préjudicielle à la Cour constitutionnelle telle que libellée au dispositif du présent jugement.</w:t>
      </w:r>
    </w:p>
    <w:p w:rsidR="00D33D8E" w:rsidRPr="00D33D8E" w:rsidRDefault="00D33D8E" w:rsidP="00D33D8E">
      <w:pPr>
        <w:jc w:val="both"/>
        <w:rPr>
          <w:rFonts w:asciiTheme="minorHAnsi" w:hAnsiTheme="minorHAnsi" w:cstheme="minorHAnsi"/>
          <w:snapToGrid w:val="0"/>
          <w:sz w:val="22"/>
          <w:szCs w:val="22"/>
          <w:lang w:eastAsia="fr-FR"/>
        </w:rPr>
      </w:pPr>
    </w:p>
    <w:p w:rsidR="00D33D8E" w:rsidRPr="00D33D8E" w:rsidRDefault="00D33D8E" w:rsidP="00D33D8E">
      <w:pPr>
        <w:jc w:val="both"/>
        <w:rPr>
          <w:rFonts w:asciiTheme="minorHAnsi" w:hAnsiTheme="minorHAnsi" w:cstheme="minorHAnsi"/>
          <w:snapToGrid w:val="0"/>
          <w:sz w:val="22"/>
          <w:szCs w:val="22"/>
          <w:lang w:eastAsia="fr-FR"/>
        </w:rPr>
      </w:pPr>
    </w:p>
    <w:p w:rsidR="00D33D8E" w:rsidRPr="00D33D8E" w:rsidRDefault="00D33D8E" w:rsidP="00D33D8E">
      <w:pPr>
        <w:tabs>
          <w:tab w:val="center" w:pos="4110"/>
        </w:tabs>
        <w:jc w:val="both"/>
        <w:rPr>
          <w:rFonts w:asciiTheme="minorHAnsi" w:eastAsia="Times New Roman" w:hAnsiTheme="minorHAnsi" w:cstheme="minorHAnsi"/>
          <w:b/>
          <w:spacing w:val="-3"/>
          <w:sz w:val="22"/>
          <w:szCs w:val="22"/>
        </w:rPr>
      </w:pPr>
      <w:r w:rsidRPr="00D33D8E">
        <w:rPr>
          <w:rFonts w:asciiTheme="minorHAnsi" w:eastAsia="Times New Roman" w:hAnsiTheme="minorHAnsi" w:cstheme="minorHAnsi"/>
          <w:b/>
          <w:spacing w:val="-3"/>
          <w:sz w:val="22"/>
          <w:szCs w:val="22"/>
        </w:rPr>
        <w:t>PAR CES MOTIFS,</w:t>
      </w: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p>
    <w:p w:rsidR="00D33D8E" w:rsidRPr="00D33D8E" w:rsidRDefault="00D33D8E" w:rsidP="00D33D8E">
      <w:pPr>
        <w:tabs>
          <w:tab w:val="left" w:pos="-720"/>
        </w:tabs>
        <w:jc w:val="both"/>
        <w:rPr>
          <w:rFonts w:asciiTheme="minorHAnsi" w:eastAsia="Times New Roman" w:hAnsiTheme="minorHAnsi" w:cstheme="minorHAnsi"/>
          <w:b/>
          <w:spacing w:val="-3"/>
          <w:sz w:val="22"/>
          <w:szCs w:val="22"/>
        </w:rPr>
      </w:pPr>
      <w:r w:rsidRPr="00D33D8E">
        <w:rPr>
          <w:rFonts w:asciiTheme="minorHAnsi" w:eastAsia="Times New Roman" w:hAnsiTheme="minorHAnsi" w:cstheme="minorHAnsi"/>
          <w:b/>
          <w:spacing w:val="-3"/>
          <w:sz w:val="22"/>
          <w:szCs w:val="22"/>
        </w:rPr>
        <w:t xml:space="preserve">Le Tribunal, </w:t>
      </w:r>
    </w:p>
    <w:p w:rsidR="00D33D8E" w:rsidRPr="00D33D8E" w:rsidRDefault="00D33D8E" w:rsidP="00D33D8E">
      <w:pPr>
        <w:tabs>
          <w:tab w:val="left" w:pos="-720"/>
        </w:tabs>
        <w:jc w:val="both"/>
        <w:rPr>
          <w:rFonts w:asciiTheme="minorHAnsi" w:eastAsia="Times New Roman" w:hAnsiTheme="minorHAnsi" w:cstheme="minorHAnsi"/>
          <w:b/>
          <w:spacing w:val="-3"/>
          <w:sz w:val="22"/>
          <w:szCs w:val="22"/>
        </w:rPr>
      </w:pP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r w:rsidRPr="00D33D8E">
        <w:rPr>
          <w:rFonts w:asciiTheme="minorHAnsi" w:eastAsia="Times New Roman" w:hAnsiTheme="minorHAnsi" w:cstheme="minorHAnsi"/>
          <w:b/>
          <w:spacing w:val="-3"/>
          <w:sz w:val="22"/>
          <w:szCs w:val="22"/>
        </w:rPr>
        <w:t>Statuant contradictoirement et sur avis écrit conforme de Madame V. HANSENNE,  Substitut de l’Auditeur du travail de Liège, </w:t>
      </w:r>
    </w:p>
    <w:p w:rsidR="00D33D8E" w:rsidRPr="00D33D8E" w:rsidRDefault="00D33D8E" w:rsidP="00D33D8E">
      <w:pPr>
        <w:tabs>
          <w:tab w:val="left" w:pos="-720"/>
        </w:tabs>
        <w:jc w:val="both"/>
        <w:rPr>
          <w:rFonts w:asciiTheme="minorHAnsi" w:eastAsia="Times New Roman" w:hAnsiTheme="minorHAnsi" w:cstheme="minorHAnsi"/>
          <w:b/>
          <w:spacing w:val="-3"/>
          <w:sz w:val="22"/>
          <w:szCs w:val="22"/>
        </w:rPr>
      </w:pPr>
    </w:p>
    <w:p w:rsidR="00D33D8E" w:rsidRPr="00D33D8E" w:rsidRDefault="00D33D8E" w:rsidP="00D33D8E">
      <w:pPr>
        <w:tabs>
          <w:tab w:val="left" w:pos="284"/>
          <w:tab w:val="left" w:pos="426"/>
        </w:tabs>
        <w:spacing w:line="240" w:lineRule="atLeast"/>
        <w:jc w:val="both"/>
        <w:rPr>
          <w:rFonts w:asciiTheme="minorHAnsi" w:eastAsia="Times New Roman" w:hAnsiTheme="minorHAnsi" w:cstheme="minorHAnsi"/>
          <w:spacing w:val="-3"/>
          <w:sz w:val="22"/>
          <w:szCs w:val="22"/>
        </w:rPr>
      </w:pPr>
      <w:r w:rsidRPr="00D33D8E">
        <w:rPr>
          <w:rFonts w:asciiTheme="minorHAnsi" w:eastAsia="Times New Roman" w:hAnsiTheme="minorHAnsi" w:cstheme="minorHAnsi"/>
          <w:spacing w:val="-3"/>
          <w:sz w:val="22"/>
          <w:szCs w:val="22"/>
        </w:rPr>
        <w:t>Ordonne la jonction des causes inscrites sous</w:t>
      </w:r>
      <w:r w:rsidRPr="00D33D8E">
        <w:rPr>
          <w:rFonts w:asciiTheme="minorHAnsi" w:eastAsia="Times New Roman" w:hAnsiTheme="minorHAnsi" w:cstheme="minorHAnsi"/>
          <w:sz w:val="22"/>
          <w:szCs w:val="22"/>
        </w:rPr>
        <w:t xml:space="preserve"> les n° RG 20/2601</w:t>
      </w:r>
      <w:r w:rsidRPr="00D33D8E">
        <w:rPr>
          <w:rFonts w:asciiTheme="minorHAnsi" w:eastAsia="Times New Roman" w:hAnsiTheme="minorHAnsi" w:cstheme="minorHAnsi"/>
          <w:snapToGrid w:val="0"/>
          <w:sz w:val="22"/>
          <w:szCs w:val="22"/>
        </w:rPr>
        <w:t>/</w:t>
      </w:r>
      <w:r w:rsidRPr="00D33D8E">
        <w:rPr>
          <w:rFonts w:asciiTheme="minorHAnsi" w:eastAsia="Times New Roman" w:hAnsiTheme="minorHAnsi" w:cstheme="minorHAnsi"/>
          <w:sz w:val="22"/>
          <w:szCs w:val="22"/>
        </w:rPr>
        <w:t xml:space="preserve">A et RG </w:t>
      </w:r>
      <w:r w:rsidRPr="00D33D8E">
        <w:rPr>
          <w:rFonts w:asciiTheme="minorHAnsi" w:eastAsia="Times New Roman" w:hAnsiTheme="minorHAnsi" w:cstheme="minorHAnsi"/>
          <w:snapToGrid w:val="0"/>
          <w:sz w:val="22"/>
          <w:szCs w:val="22"/>
        </w:rPr>
        <w:t>20/2904</w:t>
      </w:r>
      <w:r w:rsidRPr="00D33D8E">
        <w:rPr>
          <w:rFonts w:asciiTheme="minorHAnsi" w:eastAsia="Times New Roman" w:hAnsiTheme="minorHAnsi" w:cstheme="minorHAnsi"/>
          <w:sz w:val="22"/>
          <w:szCs w:val="22"/>
        </w:rPr>
        <w:t>/A.</w:t>
      </w:r>
    </w:p>
    <w:p w:rsidR="00D33D8E" w:rsidRPr="00D33D8E" w:rsidRDefault="00D33D8E" w:rsidP="00D33D8E">
      <w:pPr>
        <w:tabs>
          <w:tab w:val="left" w:pos="284"/>
          <w:tab w:val="left" w:pos="426"/>
        </w:tabs>
        <w:spacing w:line="240" w:lineRule="atLeast"/>
        <w:jc w:val="both"/>
        <w:rPr>
          <w:rFonts w:asciiTheme="minorHAnsi" w:eastAsia="Times New Roman" w:hAnsiTheme="minorHAnsi" w:cstheme="minorHAnsi"/>
          <w:spacing w:val="-3"/>
          <w:sz w:val="22"/>
          <w:szCs w:val="22"/>
        </w:rPr>
      </w:pPr>
    </w:p>
    <w:p w:rsidR="00D33D8E" w:rsidRPr="00D33D8E" w:rsidRDefault="00D33D8E" w:rsidP="00D33D8E">
      <w:pPr>
        <w:tabs>
          <w:tab w:val="left" w:pos="284"/>
          <w:tab w:val="left" w:pos="426"/>
        </w:tabs>
        <w:spacing w:line="240" w:lineRule="atLeast"/>
        <w:jc w:val="both"/>
        <w:rPr>
          <w:rFonts w:asciiTheme="minorHAnsi" w:eastAsia="Times New Roman" w:hAnsiTheme="minorHAnsi" w:cstheme="minorHAnsi"/>
          <w:spacing w:val="-3"/>
          <w:sz w:val="22"/>
          <w:szCs w:val="22"/>
        </w:rPr>
      </w:pPr>
      <w:r w:rsidRPr="00D33D8E">
        <w:rPr>
          <w:rFonts w:asciiTheme="minorHAnsi" w:eastAsia="Times New Roman" w:hAnsiTheme="minorHAnsi" w:cstheme="minorHAnsi"/>
          <w:spacing w:val="-3"/>
          <w:sz w:val="22"/>
          <w:szCs w:val="22"/>
        </w:rPr>
        <w:t>Reçoit les recours.</w:t>
      </w:r>
    </w:p>
    <w:p w:rsidR="00D33D8E" w:rsidRPr="00D33D8E" w:rsidRDefault="00D33D8E" w:rsidP="00D33D8E">
      <w:pPr>
        <w:tabs>
          <w:tab w:val="left" w:pos="284"/>
          <w:tab w:val="left" w:pos="426"/>
        </w:tabs>
        <w:spacing w:line="240" w:lineRule="atLeast"/>
        <w:jc w:val="both"/>
        <w:rPr>
          <w:rFonts w:asciiTheme="minorHAnsi" w:eastAsia="Times New Roman" w:hAnsiTheme="minorHAnsi" w:cstheme="minorHAnsi"/>
          <w:spacing w:val="-3"/>
          <w:sz w:val="22"/>
          <w:szCs w:val="22"/>
        </w:rPr>
      </w:pP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r w:rsidRPr="00D33D8E">
        <w:rPr>
          <w:rFonts w:asciiTheme="minorHAnsi" w:eastAsia="Times New Roman" w:hAnsiTheme="minorHAnsi" w:cstheme="minorHAnsi"/>
          <w:spacing w:val="-3"/>
          <w:sz w:val="22"/>
          <w:szCs w:val="22"/>
        </w:rPr>
        <w:t>Avant dire droit quant à la demande, pose, à titre préjudiciel, la question suivante à la cour constitutionnelle :</w:t>
      </w: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p>
    <w:p w:rsidR="00D33D8E" w:rsidRPr="00D33D8E" w:rsidRDefault="00D33D8E" w:rsidP="00D33D8E">
      <w:pPr>
        <w:tabs>
          <w:tab w:val="left" w:pos="-720"/>
        </w:tabs>
        <w:jc w:val="both"/>
        <w:rPr>
          <w:rFonts w:asciiTheme="minorHAnsi" w:eastAsia="Times New Roman" w:hAnsiTheme="minorHAnsi" w:cstheme="minorHAnsi"/>
          <w:i/>
          <w:iCs/>
          <w:spacing w:val="-3"/>
          <w:sz w:val="22"/>
          <w:szCs w:val="22"/>
        </w:rPr>
      </w:pPr>
      <w:r w:rsidRPr="00D33D8E">
        <w:rPr>
          <w:rFonts w:asciiTheme="minorHAnsi" w:eastAsia="Times New Roman" w:hAnsiTheme="minorHAnsi" w:cstheme="minorHAnsi"/>
          <w:i/>
          <w:iCs/>
          <w:spacing w:val="-3"/>
          <w:sz w:val="22"/>
          <w:szCs w:val="22"/>
        </w:rPr>
        <w:t>« Les articles 28 et 36 du décret du 2 février 2017 relatif</w:t>
      </w:r>
      <w:r w:rsidR="00047C26">
        <w:rPr>
          <w:rFonts w:asciiTheme="minorHAnsi" w:eastAsia="Times New Roman" w:hAnsiTheme="minorHAnsi" w:cstheme="minorHAnsi"/>
          <w:i/>
          <w:iCs/>
          <w:spacing w:val="-3"/>
          <w:sz w:val="22"/>
          <w:szCs w:val="22"/>
        </w:rPr>
        <w:t>s</w:t>
      </w:r>
      <w:r w:rsidRPr="00D33D8E">
        <w:rPr>
          <w:rFonts w:asciiTheme="minorHAnsi" w:eastAsia="Times New Roman" w:hAnsiTheme="minorHAnsi" w:cstheme="minorHAnsi"/>
          <w:i/>
          <w:iCs/>
          <w:spacing w:val="-3"/>
          <w:sz w:val="22"/>
          <w:szCs w:val="22"/>
        </w:rPr>
        <w:t xml:space="preserve"> aux aides à l'emploi à destination des groupes-cibles (M. B. 16 mars 2017) violent-ils l’article 23, alinéa 3, 2° de la Constitution, et/ou, les articles 10 et 11 de la Constitution, ces dispositions étant lues ou non en combinaison les unes avec les autres, et lues éventuellement en combinaison avec l'article 2. 1 du Pacte international relatif aux droits économiques, sociaux et culturels, l'article 12. 1 de la Charte so</w:t>
      </w:r>
      <w:r w:rsidR="00047C26">
        <w:rPr>
          <w:rFonts w:asciiTheme="minorHAnsi" w:eastAsia="Times New Roman" w:hAnsiTheme="minorHAnsi" w:cstheme="minorHAnsi"/>
          <w:i/>
          <w:iCs/>
          <w:spacing w:val="-3"/>
          <w:sz w:val="22"/>
          <w:szCs w:val="22"/>
        </w:rPr>
        <w:t>ciale européenne et l'article 1</w:t>
      </w:r>
      <w:r w:rsidRPr="00047C26">
        <w:rPr>
          <w:rFonts w:asciiTheme="minorHAnsi" w:eastAsia="Times New Roman" w:hAnsiTheme="minorHAnsi" w:cstheme="minorHAnsi"/>
          <w:i/>
          <w:iCs/>
          <w:spacing w:val="-3"/>
          <w:sz w:val="22"/>
          <w:szCs w:val="22"/>
          <w:vertAlign w:val="superscript"/>
        </w:rPr>
        <w:t>er</w:t>
      </w:r>
      <w:r w:rsidR="00047C26">
        <w:rPr>
          <w:rFonts w:asciiTheme="minorHAnsi" w:eastAsia="Times New Roman" w:hAnsiTheme="minorHAnsi" w:cstheme="minorHAnsi"/>
          <w:i/>
          <w:iCs/>
          <w:spacing w:val="-3"/>
          <w:sz w:val="22"/>
          <w:szCs w:val="22"/>
        </w:rPr>
        <w:t xml:space="preserve"> </w:t>
      </w:r>
      <w:r w:rsidRPr="00D33D8E">
        <w:rPr>
          <w:rFonts w:asciiTheme="minorHAnsi" w:eastAsia="Times New Roman" w:hAnsiTheme="minorHAnsi" w:cstheme="minorHAnsi"/>
          <w:i/>
          <w:iCs/>
          <w:spacing w:val="-3"/>
          <w:sz w:val="22"/>
          <w:szCs w:val="22"/>
        </w:rPr>
        <w:t xml:space="preserve">du premier protocole additionnel à la Convention européenne de sauvegarde des Droits de l'Homme et des Libertés fondamentales, en ce qu'ils suppriment, pour la Région wallonne, à partir du 1er juillet 2020, le complément de reprise du travail à durée indéterminée dont bénéficiaient les travailleurs visés à l'article 129bis de l'Arrêté royal du 25 novembre 1991 portant règlementation du chômage avant son abrogation par les dispositions visées par la présente question préjudicielle ? » </w:t>
      </w: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r w:rsidRPr="00D33D8E">
        <w:rPr>
          <w:rFonts w:asciiTheme="minorHAnsi" w:eastAsia="Times New Roman" w:hAnsiTheme="minorHAnsi" w:cstheme="minorHAnsi"/>
          <w:spacing w:val="-3"/>
          <w:sz w:val="22"/>
          <w:szCs w:val="22"/>
        </w:rPr>
        <w:t>Réserve à statuer sur le surplus, en ce compris sur la question des dépens.</w:t>
      </w: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p>
    <w:p w:rsidR="00D33D8E" w:rsidRPr="00D33D8E" w:rsidRDefault="00D33D8E" w:rsidP="00D33D8E">
      <w:pPr>
        <w:tabs>
          <w:tab w:val="left" w:pos="-720"/>
        </w:tabs>
        <w:jc w:val="both"/>
        <w:rPr>
          <w:rFonts w:asciiTheme="minorHAnsi" w:eastAsia="Times New Roman" w:hAnsiTheme="minorHAnsi" w:cstheme="minorHAnsi"/>
          <w:spacing w:val="-3"/>
          <w:sz w:val="22"/>
          <w:szCs w:val="22"/>
        </w:rPr>
      </w:pPr>
      <w:r w:rsidRPr="00D33D8E">
        <w:rPr>
          <w:rFonts w:asciiTheme="minorHAnsi" w:eastAsia="Times New Roman" w:hAnsiTheme="minorHAnsi" w:cstheme="minorHAnsi"/>
          <w:spacing w:val="-3"/>
          <w:sz w:val="22"/>
          <w:szCs w:val="22"/>
        </w:rPr>
        <w:t>Renvoie la cause au rôle.</w:t>
      </w:r>
    </w:p>
    <w:p w:rsidR="00047C26" w:rsidRDefault="00047C26">
      <w:pPr>
        <w:widowControl/>
        <w:suppressAutoHyphens w:val="0"/>
        <w:autoSpaceDN/>
        <w:spacing w:after="200" w:line="276" w:lineRule="auto"/>
        <w:textAlignment w:val="auto"/>
        <w:rPr>
          <w:rFonts w:asciiTheme="minorHAnsi" w:eastAsia="Arial" w:hAnsiTheme="minorHAnsi" w:cstheme="minorHAnsi"/>
          <w:b/>
          <w:u w:val="single"/>
        </w:rPr>
      </w:pPr>
      <w:r>
        <w:rPr>
          <w:rFonts w:asciiTheme="minorHAnsi" w:hAnsiTheme="minorHAnsi" w:cstheme="minorHAnsi"/>
          <w:b/>
          <w:u w:val="single"/>
        </w:rPr>
        <w:br w:type="page"/>
      </w:r>
    </w:p>
    <w:p w:rsidR="00047C26" w:rsidRDefault="00047C26" w:rsidP="00047C26">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AINSI jugé par la </w:t>
      </w:r>
      <w:r>
        <w:rPr>
          <w:rFonts w:asciiTheme="minorHAnsi" w:hAnsiTheme="minorHAnsi" w:cstheme="minorHAnsi"/>
          <w:b/>
          <w:sz w:val="22"/>
          <w:szCs w:val="22"/>
        </w:rPr>
        <w:t>Huitième chambre du Tribunal du Travai</w:t>
      </w:r>
      <w:bookmarkStart w:id="12" w:name="_GoBack"/>
      <w:bookmarkEnd w:id="12"/>
      <w:r>
        <w:rPr>
          <w:rFonts w:asciiTheme="minorHAnsi" w:hAnsiTheme="minorHAnsi" w:cstheme="minorHAnsi"/>
          <w:b/>
          <w:sz w:val="22"/>
          <w:szCs w:val="22"/>
        </w:rPr>
        <w:t>l de Liège - Division Liège</w:t>
      </w:r>
      <w:r>
        <w:rPr>
          <w:rFonts w:asciiTheme="minorHAnsi" w:hAnsiTheme="minorHAnsi" w:cstheme="minorHAnsi"/>
          <w:b/>
          <w:snapToGrid w:val="0"/>
          <w:sz w:val="22"/>
          <w:szCs w:val="22"/>
          <w:lang w:eastAsia="fr-FR"/>
        </w:rPr>
        <w:t xml:space="preserve"> composée de:</w:t>
      </w:r>
    </w:p>
    <w:p w:rsidR="00047C26" w:rsidRDefault="00047C26" w:rsidP="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6"/>
      </w:tblGrid>
      <w:tr w:rsidR="00047C26" w:rsidTr="00047C26">
        <w:trPr>
          <w:trHeight w:val="289"/>
        </w:trPr>
        <w:tc>
          <w:tcPr>
            <w:tcW w:w="4501" w:type="dxa"/>
            <w:hideMark/>
          </w:tcPr>
          <w:p w:rsidR="00047C26" w:rsidRDefault="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ROGISTER H.,</w:t>
            </w:r>
          </w:p>
        </w:tc>
        <w:tc>
          <w:tcPr>
            <w:tcW w:w="4501" w:type="dxa"/>
            <w:hideMark/>
          </w:tcPr>
          <w:p w:rsidR="00047C26" w:rsidRDefault="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présidant la chambre,</w:t>
            </w:r>
          </w:p>
        </w:tc>
      </w:tr>
      <w:tr w:rsidR="00047C26" w:rsidTr="00047C26">
        <w:trPr>
          <w:trHeight w:val="289"/>
        </w:trPr>
        <w:tc>
          <w:tcPr>
            <w:tcW w:w="4501" w:type="dxa"/>
            <w:hideMark/>
          </w:tcPr>
          <w:p w:rsidR="00047C26" w:rsidRDefault="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DJELIL M.,</w:t>
            </w:r>
          </w:p>
        </w:tc>
        <w:tc>
          <w:tcPr>
            <w:tcW w:w="4501" w:type="dxa"/>
            <w:hideMark/>
          </w:tcPr>
          <w:p w:rsidR="00047C26" w:rsidRDefault="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employeur,</w:t>
            </w:r>
          </w:p>
        </w:tc>
      </w:tr>
      <w:tr w:rsidR="00047C26" w:rsidTr="00047C26">
        <w:trPr>
          <w:trHeight w:val="289"/>
        </w:trPr>
        <w:tc>
          <w:tcPr>
            <w:tcW w:w="4501" w:type="dxa"/>
            <w:hideMark/>
          </w:tcPr>
          <w:p w:rsidR="00047C26" w:rsidRDefault="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MAIRLOT D.,</w:t>
            </w:r>
          </w:p>
        </w:tc>
        <w:tc>
          <w:tcPr>
            <w:tcW w:w="4501" w:type="dxa"/>
            <w:hideMark/>
          </w:tcPr>
          <w:p w:rsidR="00047C26" w:rsidRDefault="00047C26">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employé,</w:t>
            </w:r>
          </w:p>
        </w:tc>
      </w:tr>
    </w:tbl>
    <w:p w:rsidR="00047C26" w:rsidRDefault="00047C26" w:rsidP="00047C26">
      <w:pPr>
        <w:jc w:val="both"/>
        <w:rPr>
          <w:rFonts w:asciiTheme="minorHAnsi" w:hAnsiTheme="minorHAnsi" w:cstheme="minorHAnsi"/>
          <w:snapToGrid w:val="0"/>
          <w:sz w:val="22"/>
          <w:szCs w:val="22"/>
          <w:lang w:eastAsia="fr-FR"/>
        </w:rPr>
      </w:pPr>
    </w:p>
    <w:p w:rsidR="00047C26" w:rsidRDefault="00047C26" w:rsidP="00047C26">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 et les Juges sociaux,</w:t>
      </w:r>
    </w:p>
    <w:p w:rsidR="00047C26" w:rsidRDefault="00047C26" w:rsidP="00047C26">
      <w:pPr>
        <w:jc w:val="both"/>
        <w:rPr>
          <w:rFonts w:asciiTheme="minorHAnsi" w:hAnsiTheme="minorHAnsi" w:cstheme="minorHAnsi"/>
          <w:snapToGrid w:val="0"/>
          <w:sz w:val="22"/>
          <w:szCs w:val="22"/>
          <w:lang w:eastAsia="fr-FR"/>
        </w:rPr>
      </w:pPr>
    </w:p>
    <w:p w:rsidR="00047C26" w:rsidRDefault="00047C26" w:rsidP="00047C26">
      <w:pPr>
        <w:jc w:val="both"/>
        <w:rPr>
          <w:rFonts w:asciiTheme="minorHAnsi" w:hAnsiTheme="minorHAnsi" w:cstheme="minorHAnsi"/>
          <w:snapToGrid w:val="0"/>
          <w:sz w:val="22"/>
          <w:szCs w:val="22"/>
          <w:lang w:eastAsia="fr-FR"/>
        </w:rPr>
      </w:pPr>
    </w:p>
    <w:p w:rsidR="00047C26" w:rsidRDefault="00047C26" w:rsidP="00047C26">
      <w:pPr>
        <w:jc w:val="both"/>
        <w:rPr>
          <w:rFonts w:asciiTheme="minorHAnsi" w:hAnsiTheme="minorHAnsi" w:cstheme="minorHAnsi"/>
          <w:snapToGrid w:val="0"/>
          <w:sz w:val="22"/>
          <w:szCs w:val="22"/>
          <w:lang w:eastAsia="fr-FR"/>
        </w:rPr>
      </w:pPr>
    </w:p>
    <w:p w:rsidR="00047C26" w:rsidRDefault="00047C26" w:rsidP="00047C26">
      <w:pPr>
        <w:jc w:val="both"/>
        <w:rPr>
          <w:rFonts w:asciiTheme="minorHAnsi" w:hAnsiTheme="minorHAnsi" w:cstheme="minorHAnsi"/>
          <w:snapToGrid w:val="0"/>
          <w:sz w:val="22"/>
          <w:szCs w:val="22"/>
          <w:lang w:eastAsia="fr-FR"/>
        </w:rPr>
      </w:pPr>
    </w:p>
    <w:p w:rsidR="00047C26" w:rsidRPr="00C146FF" w:rsidRDefault="00047C26" w:rsidP="00047C26">
      <w:pPr>
        <w:jc w:val="both"/>
        <w:rPr>
          <w:rFonts w:asciiTheme="minorHAnsi" w:hAnsiTheme="minorHAnsi" w:cstheme="minorHAnsi"/>
          <w:b/>
          <w:sz w:val="22"/>
          <w:szCs w:val="22"/>
          <w:lang w:val="fr-FR"/>
        </w:rPr>
      </w:pPr>
      <w:r>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A2E5D718507B49AAAA5C340D6F1DA661"/>
          </w:placeholder>
          <w:date w:fullDate="2022-02-22T00:00:00Z">
            <w:dateFormat w:val="dd/MM/yyyy"/>
            <w:lid w:val="fr-BE"/>
            <w:storeMappedDataAs w:val="dateTime"/>
            <w:calendar w:val="gregorian"/>
          </w:date>
        </w:sdtPr>
        <w:sdtEndPr/>
        <w:sdtContent>
          <w:r>
            <w:rPr>
              <w:rFonts w:asciiTheme="minorHAnsi" w:hAnsiTheme="minorHAnsi" w:cstheme="minorHAnsi"/>
              <w:b/>
              <w:sz w:val="22"/>
              <w:szCs w:val="22"/>
            </w:rPr>
            <w:t>22/02/2022</w:t>
          </w:r>
        </w:sdtContent>
      </w:sdt>
      <w:r w:rsidR="00C146FF">
        <w:rPr>
          <w:rFonts w:asciiTheme="minorHAnsi" w:hAnsiTheme="minorHAnsi" w:cstheme="minorHAnsi"/>
          <w:b/>
          <w:sz w:val="22"/>
          <w:szCs w:val="22"/>
        </w:rPr>
        <w:t xml:space="preserve"> </w:t>
      </w:r>
      <w:r>
        <w:rPr>
          <w:rFonts w:asciiTheme="minorHAnsi" w:hAnsiTheme="minorHAnsi" w:cstheme="minorHAnsi"/>
          <w:b/>
          <w:snapToGrid w:val="0"/>
          <w:sz w:val="22"/>
          <w:szCs w:val="22"/>
          <w:lang w:eastAsia="fr-FR"/>
        </w:rPr>
        <w:t>par ROGISTER H.,</w:t>
      </w:r>
      <w:r>
        <w:rPr>
          <w:rFonts w:asciiTheme="minorHAnsi" w:hAnsiTheme="minorHAnsi" w:cstheme="minorHAnsi"/>
          <w:snapToGrid w:val="0"/>
          <w:sz w:val="22"/>
          <w:szCs w:val="22"/>
          <w:lang w:eastAsia="fr-FR"/>
        </w:rPr>
        <w:t xml:space="preserve"> Juge présidant la chambre, assistée de</w:t>
      </w:r>
      <w:r>
        <w:rPr>
          <w:rFonts w:asciiTheme="minorHAnsi" w:hAnsiTheme="minorHAnsi" w:cstheme="minorHAnsi"/>
          <w:b/>
          <w:snapToGrid w:val="0"/>
          <w:sz w:val="22"/>
          <w:szCs w:val="22"/>
          <w:lang w:eastAsia="fr-FR"/>
        </w:rPr>
        <w:t xml:space="preserve"> WALLRAF N., Greffier,</w:t>
      </w:r>
    </w:p>
    <w:p w:rsidR="00047C26" w:rsidRDefault="00047C26" w:rsidP="00047C26">
      <w:pPr>
        <w:jc w:val="both"/>
        <w:rPr>
          <w:rFonts w:asciiTheme="minorHAnsi" w:hAnsiTheme="minorHAnsi" w:cstheme="minorHAnsi"/>
          <w:b/>
          <w:snapToGrid w:val="0"/>
          <w:sz w:val="22"/>
          <w:szCs w:val="22"/>
          <w:lang w:eastAsia="fr-FR"/>
        </w:rPr>
      </w:pPr>
    </w:p>
    <w:p w:rsidR="00047C26" w:rsidRDefault="00047C26" w:rsidP="00047C26">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 et le Greffier,</w:t>
      </w:r>
    </w:p>
    <w:p w:rsidR="00047C26" w:rsidRDefault="00047C26" w:rsidP="00047C26">
      <w:pPr>
        <w:pStyle w:val="Textebrut"/>
        <w:tabs>
          <w:tab w:val="left" w:pos="1843"/>
        </w:tabs>
        <w:jc w:val="both"/>
        <w:rPr>
          <w:rFonts w:asciiTheme="minorHAnsi" w:hAnsiTheme="minorHAnsi" w:cstheme="minorHAnsi"/>
          <w:b/>
          <w:sz w:val="22"/>
          <w:szCs w:val="22"/>
          <w:u w:val="single"/>
        </w:rPr>
      </w:pPr>
    </w:p>
    <w:p w:rsidR="00D33D8E" w:rsidRPr="00D33D8E" w:rsidRDefault="00D33D8E" w:rsidP="00E40AC4">
      <w:pPr>
        <w:pStyle w:val="Textebrut"/>
        <w:tabs>
          <w:tab w:val="left" w:pos="1843"/>
        </w:tabs>
        <w:jc w:val="both"/>
        <w:rPr>
          <w:rFonts w:asciiTheme="minorHAnsi" w:hAnsiTheme="minorHAnsi" w:cstheme="minorHAnsi"/>
          <w:b/>
          <w:sz w:val="24"/>
          <w:szCs w:val="24"/>
          <w:u w:val="single"/>
        </w:rPr>
      </w:pPr>
    </w:p>
    <w:sectPr w:rsidR="00D33D8E" w:rsidRPr="00D33D8E" w:rsidSect="002D50E6">
      <w:headerReference w:type="default" r:id="rId11"/>
      <w:headerReference w:type="first" r:id="rId12"/>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3F" w:rsidRDefault="0081223F">
      <w:r>
        <w:separator/>
      </w:r>
    </w:p>
  </w:endnote>
  <w:endnote w:type="continuationSeparator" w:id="0">
    <w:p w:rsidR="0081223F" w:rsidRDefault="0081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3F" w:rsidRDefault="0081223F">
      <w:r>
        <w:separator/>
      </w:r>
    </w:p>
  </w:footnote>
  <w:footnote w:type="continuationSeparator" w:id="0">
    <w:p w:rsidR="0081223F" w:rsidRDefault="0081223F">
      <w:r>
        <w:continuationSeparator/>
      </w:r>
    </w:p>
  </w:footnote>
  <w:footnote w:id="1">
    <w:p w:rsidR="0081223F" w:rsidRPr="008E4F7B" w:rsidRDefault="0081223F" w:rsidP="00D33D8E">
      <w:pPr>
        <w:pStyle w:val="Notedebasdepage"/>
        <w:rPr>
          <w:lang w:val="fr-BE"/>
        </w:rPr>
      </w:pPr>
      <w:r>
        <w:rPr>
          <w:rStyle w:val="Appelnotedebasdep"/>
        </w:rPr>
        <w:footnoteRef/>
      </w:r>
      <w:r>
        <w:t xml:space="preserve"> </w:t>
      </w:r>
      <w:r>
        <w:rPr>
          <w:lang w:val="fr-BE"/>
        </w:rPr>
        <w:t>L’organisme de paiement en a été informé par flux informatique</w:t>
      </w:r>
    </w:p>
  </w:footnote>
  <w:footnote w:id="2">
    <w:p w:rsidR="0081223F" w:rsidRDefault="0081223F" w:rsidP="00D33D8E">
      <w:pPr>
        <w:pStyle w:val="Notedebasdepage"/>
        <w:jc w:val="both"/>
        <w:rPr>
          <w:rFonts w:cstheme="minorHAnsi"/>
        </w:rPr>
      </w:pPr>
      <w:r>
        <w:rPr>
          <w:rStyle w:val="Appelnotedebasdep"/>
          <w:rFonts w:cstheme="minorHAnsi"/>
        </w:rPr>
        <w:footnoteRef/>
      </w:r>
      <w:r>
        <w:rPr>
          <w:rFonts w:cstheme="minorHAnsi"/>
        </w:rPr>
        <w:t xml:space="preserve"> </w:t>
      </w:r>
      <w:proofErr w:type="spellStart"/>
      <w:r>
        <w:rPr>
          <w:rFonts w:cstheme="minorHAnsi"/>
        </w:rPr>
        <w:t>Cass</w:t>
      </w:r>
      <w:proofErr w:type="spellEnd"/>
      <w:r>
        <w:rPr>
          <w:rFonts w:cstheme="minorHAnsi"/>
        </w:rPr>
        <w:t xml:space="preserve">., 5 mars 2018, S.16.0033.F, </w:t>
      </w:r>
      <w:r>
        <w:rPr>
          <w:rFonts w:cstheme="minorHAnsi"/>
          <w:i/>
          <w:iCs/>
        </w:rPr>
        <w:t xml:space="preserve">www.juridat.be. </w:t>
      </w:r>
      <w:r>
        <w:rPr>
          <w:rFonts w:cstheme="minorHAnsi"/>
        </w:rPr>
        <w:t xml:space="preserve">J.-F. NEVEN, E. DERMINE, S. PALATE et S. GILSON, « Les droits à la sécurité sociale et à l’aide sociale, médicale et juridique », </w:t>
      </w:r>
      <w:r>
        <w:rPr>
          <w:rFonts w:cstheme="minorHAnsi"/>
          <w:i/>
          <w:iCs/>
        </w:rPr>
        <w:t xml:space="preserve">in </w:t>
      </w:r>
      <w:r>
        <w:rPr>
          <w:rFonts w:cstheme="minorHAnsi"/>
        </w:rPr>
        <w:t>M. VERDUSSEN et N. BONBLED (</w:t>
      </w:r>
      <w:proofErr w:type="spellStart"/>
      <w:r>
        <w:rPr>
          <w:rFonts w:cstheme="minorHAnsi"/>
        </w:rPr>
        <w:t>dir</w:t>
      </w:r>
      <w:proofErr w:type="spellEnd"/>
      <w:r>
        <w:rPr>
          <w:rFonts w:cstheme="minorHAnsi"/>
        </w:rPr>
        <w:t xml:space="preserve">.), </w:t>
      </w:r>
      <w:r>
        <w:rPr>
          <w:rFonts w:cstheme="minorHAnsi"/>
          <w:i/>
          <w:iCs/>
        </w:rPr>
        <w:t>Les droits constitutionnels en Belgique. Les enseignements jurisprudentiels de la Cour constitutionnelle, du Conseil d’Etat et de la Cour de cassation</w:t>
      </w:r>
      <w:r>
        <w:rPr>
          <w:rFonts w:cstheme="minorHAnsi"/>
        </w:rPr>
        <w:t xml:space="preserve">, vol. 2, Bruxelles, </w:t>
      </w:r>
      <w:proofErr w:type="spellStart"/>
      <w:r>
        <w:rPr>
          <w:rFonts w:cstheme="minorHAnsi"/>
        </w:rPr>
        <w:t>Bruylant</w:t>
      </w:r>
      <w:proofErr w:type="spellEnd"/>
      <w:r>
        <w:rPr>
          <w:rFonts w:cstheme="minorHAnsi"/>
        </w:rPr>
        <w:t xml:space="preserve">, 2011, pp. 1323-1382.  </w:t>
      </w:r>
      <w:proofErr w:type="spellStart"/>
      <w:r>
        <w:rPr>
          <w:rFonts w:cstheme="minorHAnsi"/>
        </w:rPr>
        <w:t>Cass</w:t>
      </w:r>
      <w:proofErr w:type="spellEnd"/>
      <w:r>
        <w:rPr>
          <w:rFonts w:cstheme="minorHAnsi"/>
        </w:rPr>
        <w:t>., 18 mai 2015, S.14.0042, ww</w:t>
      </w:r>
      <w:r>
        <w:rPr>
          <w:rFonts w:cstheme="minorHAnsi"/>
          <w:i/>
          <w:iCs/>
        </w:rPr>
        <w:t>w.juridat.be</w:t>
      </w:r>
      <w:r>
        <w:rPr>
          <w:rFonts w:cstheme="minorHAnsi"/>
          <w:iCs/>
        </w:rPr>
        <w:t>.</w:t>
      </w:r>
      <w:r>
        <w:rPr>
          <w:rFonts w:cstheme="minorHAnsi"/>
        </w:rPr>
        <w:t xml:space="preserve">Cass., 15 décembre 2014, S.14.0011, </w:t>
      </w:r>
      <w:r>
        <w:rPr>
          <w:rFonts w:cstheme="minorHAnsi"/>
          <w:i/>
          <w:iCs/>
        </w:rPr>
        <w:t>www.juridat.be</w:t>
      </w:r>
      <w:r>
        <w:rPr>
          <w:rFonts w:cstheme="minorHAnsi"/>
        </w:rPr>
        <w:t xml:space="preserve">. C.E., 23 septembre 2011, n° 215.309. C.C., 18 mai 2017, n° 61/2017. C.C., 1er octobre 2015, n° 133/2015, note J. HENEFFE, « </w:t>
      </w:r>
      <w:r>
        <w:rPr>
          <w:rFonts w:cstheme="minorHAnsi"/>
          <w:i/>
        </w:rPr>
        <w:t xml:space="preserve">Quand le principe de </w:t>
      </w:r>
      <w:proofErr w:type="spellStart"/>
      <w:r>
        <w:rPr>
          <w:rFonts w:cstheme="minorHAnsi"/>
          <w:i/>
        </w:rPr>
        <w:t>standstill</w:t>
      </w:r>
      <w:proofErr w:type="spellEnd"/>
      <w:r>
        <w:rPr>
          <w:rFonts w:cstheme="minorHAnsi"/>
          <w:i/>
        </w:rPr>
        <w:t xml:space="preserve"> s’impose en matière d’aide sociale </w:t>
      </w:r>
      <w:r>
        <w:rPr>
          <w:rFonts w:cstheme="minorHAnsi"/>
        </w:rPr>
        <w:t xml:space="preserve">», </w:t>
      </w:r>
      <w:r>
        <w:rPr>
          <w:rFonts w:cstheme="minorHAnsi"/>
          <w:i/>
          <w:iCs/>
        </w:rPr>
        <w:t>A.P.</w:t>
      </w:r>
      <w:r>
        <w:rPr>
          <w:rFonts w:cstheme="minorHAnsi"/>
        </w:rPr>
        <w:t xml:space="preserve">, 2016, pp. 39-44. D. DUMONT, « Le "droit à la sécurité sociale" consacré par l’article 23 de la Constitution : quelle signification et quelle </w:t>
      </w:r>
      <w:proofErr w:type="spellStart"/>
      <w:r>
        <w:rPr>
          <w:rFonts w:cstheme="minorHAnsi"/>
        </w:rPr>
        <w:t>justiciabilité</w:t>
      </w:r>
      <w:proofErr w:type="spellEnd"/>
      <w:r>
        <w:rPr>
          <w:rFonts w:cstheme="minorHAnsi"/>
        </w:rPr>
        <w:t xml:space="preserve"> ? »,</w:t>
      </w:r>
      <w:r>
        <w:rPr>
          <w:rFonts w:cstheme="minorHAnsi"/>
          <w:i/>
          <w:iCs/>
        </w:rPr>
        <w:t xml:space="preserve"> </w:t>
      </w:r>
      <w:r>
        <w:rPr>
          <w:rFonts w:cstheme="minorHAnsi"/>
        </w:rPr>
        <w:t xml:space="preserve">pp. 69-71, n° 40 ; I. HACHEZ et F. LOUCKX, </w:t>
      </w:r>
      <w:r>
        <w:rPr>
          <w:rFonts w:cstheme="minorHAnsi"/>
          <w:i/>
          <w:iCs/>
        </w:rPr>
        <w:t xml:space="preserve">op. </w:t>
      </w:r>
      <w:proofErr w:type="spellStart"/>
      <w:r>
        <w:rPr>
          <w:rFonts w:cstheme="minorHAnsi"/>
          <w:i/>
          <w:iCs/>
        </w:rPr>
        <w:t>cit</w:t>
      </w:r>
      <w:proofErr w:type="spellEnd"/>
      <w:r>
        <w:rPr>
          <w:rFonts w:cstheme="minorHAnsi"/>
          <w:i/>
          <w:iCs/>
        </w:rPr>
        <w:t>.</w:t>
      </w:r>
      <w:r>
        <w:rPr>
          <w:rFonts w:cstheme="minorHAnsi"/>
        </w:rPr>
        <w:t>, p. 109, n° 15.</w:t>
      </w:r>
      <w:r>
        <w:rPr>
          <w:rFonts w:cstheme="minorHAnsi"/>
          <w:i/>
          <w:iCs/>
        </w:rPr>
        <w:t xml:space="preserve"> </w:t>
      </w:r>
    </w:p>
  </w:footnote>
  <w:footnote w:id="3">
    <w:p w:rsidR="0081223F" w:rsidRDefault="0081223F" w:rsidP="00D33D8E">
      <w:pPr>
        <w:pStyle w:val="Notedebasdepage"/>
        <w:jc w:val="both"/>
        <w:rPr>
          <w:rFonts w:ascii="Calibri" w:hAnsi="Calibri"/>
        </w:rPr>
      </w:pPr>
      <w:r>
        <w:rPr>
          <w:rStyle w:val="Appelnotedebasdep"/>
          <w:rFonts w:ascii="Calibri" w:hAnsi="Calibri"/>
        </w:rPr>
        <w:footnoteRef/>
      </w:r>
      <w:r>
        <w:rPr>
          <w:rFonts w:ascii="Calibri" w:hAnsi="Calibri"/>
        </w:rPr>
        <w:t xml:space="preserve">I. Hachez, </w:t>
      </w:r>
      <w:r>
        <w:rPr>
          <w:rFonts w:ascii="Calibri" w:hAnsi="Calibri"/>
          <w:i/>
        </w:rPr>
        <w:t xml:space="preserve">Le principe de </w:t>
      </w:r>
      <w:proofErr w:type="spellStart"/>
      <w:r>
        <w:rPr>
          <w:rFonts w:ascii="Calibri" w:hAnsi="Calibri"/>
          <w:i/>
        </w:rPr>
        <w:t>standstill</w:t>
      </w:r>
      <w:proofErr w:type="spellEnd"/>
      <w:r>
        <w:rPr>
          <w:rFonts w:ascii="Calibri" w:hAnsi="Calibri"/>
          <w:i/>
        </w:rPr>
        <w:t xml:space="preserve"> dans le droit des droits fondamentaux : une irréversibilité relative</w:t>
      </w:r>
      <w:r>
        <w:rPr>
          <w:rFonts w:ascii="Calibri" w:hAnsi="Calibri"/>
        </w:rPr>
        <w:t xml:space="preserve">, p. 438 ; F. </w:t>
      </w:r>
      <w:proofErr w:type="spellStart"/>
      <w:r>
        <w:rPr>
          <w:rFonts w:ascii="Calibri" w:hAnsi="Calibri"/>
        </w:rPr>
        <w:t>Lambinet</w:t>
      </w:r>
      <w:proofErr w:type="spellEnd"/>
      <w:r>
        <w:rPr>
          <w:rFonts w:ascii="Calibri" w:hAnsi="Calibri"/>
        </w:rPr>
        <w:t>, « </w:t>
      </w:r>
      <w:r>
        <w:rPr>
          <w:rFonts w:ascii="Calibri" w:hAnsi="Calibri"/>
          <w:bCs/>
        </w:rPr>
        <w:t xml:space="preserve">Mise en œuvre du principe de </w:t>
      </w:r>
      <w:proofErr w:type="spellStart"/>
      <w:r>
        <w:rPr>
          <w:rFonts w:ascii="Calibri" w:hAnsi="Calibri"/>
          <w:bCs/>
          <w:i/>
          <w:iCs/>
        </w:rPr>
        <w:t>standstill</w:t>
      </w:r>
      <w:proofErr w:type="spellEnd"/>
      <w:r>
        <w:rPr>
          <w:rFonts w:ascii="Calibri" w:hAnsi="Calibri"/>
          <w:bCs/>
          <w:i/>
          <w:iCs/>
        </w:rPr>
        <w:t xml:space="preserve"> </w:t>
      </w:r>
      <w:r>
        <w:rPr>
          <w:rFonts w:ascii="Calibri" w:hAnsi="Calibri"/>
          <w:bCs/>
        </w:rPr>
        <w:t xml:space="preserve">dans le droit de l’assurance </w:t>
      </w:r>
      <w:proofErr w:type="spellStart"/>
      <w:r>
        <w:rPr>
          <w:rFonts w:ascii="Calibri" w:hAnsi="Calibri"/>
          <w:bCs/>
        </w:rPr>
        <w:t>chômage</w:t>
      </w:r>
      <w:proofErr w:type="spellEnd"/>
      <w:r>
        <w:rPr>
          <w:rFonts w:ascii="Calibri" w:hAnsi="Calibri"/>
          <w:bCs/>
        </w:rPr>
        <w:t xml:space="preserve"> : quelques observations en marge de l’</w:t>
      </w:r>
      <w:proofErr w:type="spellStart"/>
      <w:r>
        <w:rPr>
          <w:rFonts w:ascii="Calibri" w:hAnsi="Calibri"/>
          <w:bCs/>
        </w:rPr>
        <w:t>arrêt</w:t>
      </w:r>
      <w:proofErr w:type="spellEnd"/>
      <w:r>
        <w:rPr>
          <w:rFonts w:ascii="Calibri" w:hAnsi="Calibri"/>
          <w:bCs/>
        </w:rPr>
        <w:t xml:space="preserve"> de la Cour de cassation du 5 mars 2018 », disponible sur </w:t>
      </w:r>
      <w:hyperlink r:id="rId1" w:history="1">
        <w:r w:rsidRPr="00047C26">
          <w:rPr>
            <w:rStyle w:val="Lienhypertexte"/>
            <w:rFonts w:ascii="Calibri" w:hAnsi="Calibri"/>
            <w:bCs/>
            <w:u w:val="none"/>
          </w:rPr>
          <w:t>www.terralaboris.be</w:t>
        </w:r>
      </w:hyperlink>
      <w:r>
        <w:rPr>
          <w:rFonts w:ascii="Calibri" w:hAnsi="Calibri"/>
          <w:bCs/>
        </w:rPr>
        <w:t>, n° 14.</w:t>
      </w:r>
    </w:p>
  </w:footnote>
  <w:footnote w:id="4">
    <w:p w:rsidR="0081223F" w:rsidRDefault="0081223F" w:rsidP="00D33D8E">
      <w:pPr>
        <w:pStyle w:val="Notedebasdepage"/>
        <w:jc w:val="both"/>
        <w:rPr>
          <w:rFonts w:cstheme="minorHAnsi"/>
        </w:rPr>
      </w:pPr>
      <w:r>
        <w:rPr>
          <w:rStyle w:val="Appelnotedebasdep"/>
          <w:rFonts w:cstheme="minorHAnsi"/>
        </w:rPr>
        <w:footnoteRef/>
      </w:r>
      <w:r>
        <w:rPr>
          <w:rFonts w:cstheme="minorHAnsi"/>
        </w:rPr>
        <w:t xml:space="preserve"> I. HACHEZ, </w:t>
      </w:r>
      <w:r>
        <w:rPr>
          <w:rFonts w:cstheme="minorHAnsi"/>
          <w:i/>
          <w:iCs/>
        </w:rPr>
        <w:t xml:space="preserve">Le principe de </w:t>
      </w:r>
      <w:proofErr w:type="spellStart"/>
      <w:r>
        <w:rPr>
          <w:rFonts w:cstheme="minorHAnsi"/>
          <w:i/>
          <w:iCs/>
        </w:rPr>
        <w:t>standstill</w:t>
      </w:r>
      <w:proofErr w:type="spellEnd"/>
      <w:r>
        <w:rPr>
          <w:rFonts w:cstheme="minorHAnsi"/>
          <w:i/>
          <w:iCs/>
        </w:rPr>
        <w:t xml:space="preserve"> dans le droit des droits fondamentaux : une irréversibilité relative, </w:t>
      </w:r>
      <w:r>
        <w:rPr>
          <w:rFonts w:cstheme="minorHAnsi"/>
        </w:rPr>
        <w:t xml:space="preserve"> pp. 364-365, n° 335.  </w:t>
      </w:r>
    </w:p>
  </w:footnote>
  <w:footnote w:id="5">
    <w:p w:rsidR="0081223F" w:rsidRDefault="0081223F" w:rsidP="00D33D8E">
      <w:pPr>
        <w:pStyle w:val="Notedebasdepage"/>
        <w:rPr>
          <w:rFonts w:cstheme="minorHAnsi"/>
          <w:lang w:val="nl-BE"/>
        </w:rPr>
      </w:pPr>
      <w:r>
        <w:rPr>
          <w:rStyle w:val="Appelnotedebasdep"/>
          <w:rFonts w:cstheme="minorHAnsi"/>
        </w:rPr>
        <w:footnoteRef/>
      </w:r>
      <w:r>
        <w:rPr>
          <w:rFonts w:cstheme="minorHAnsi"/>
          <w:lang w:val="nl-BE"/>
        </w:rPr>
        <w:t xml:space="preserve"> D. DUMONT, </w:t>
      </w:r>
      <w:r>
        <w:rPr>
          <w:rFonts w:cstheme="minorHAnsi"/>
          <w:i/>
          <w:iCs/>
          <w:lang w:val="nl-BE"/>
        </w:rPr>
        <w:t xml:space="preserve">op. </w:t>
      </w:r>
      <w:proofErr w:type="spellStart"/>
      <w:r>
        <w:rPr>
          <w:rFonts w:cstheme="minorHAnsi"/>
          <w:i/>
          <w:iCs/>
          <w:lang w:val="nl-BE"/>
        </w:rPr>
        <w:t>cit</w:t>
      </w:r>
      <w:proofErr w:type="spellEnd"/>
      <w:r>
        <w:rPr>
          <w:rFonts w:cstheme="minorHAnsi"/>
          <w:i/>
          <w:iCs/>
          <w:lang w:val="nl-BE"/>
        </w:rPr>
        <w:t>.</w:t>
      </w:r>
      <w:r>
        <w:rPr>
          <w:rFonts w:cstheme="minorHAnsi"/>
          <w:lang w:val="nl-BE"/>
        </w:rPr>
        <w:t>, p. 79, n° 47.</w:t>
      </w:r>
    </w:p>
  </w:footnote>
  <w:footnote w:id="6">
    <w:p w:rsidR="0081223F" w:rsidRDefault="0081223F" w:rsidP="00D33D8E">
      <w:pPr>
        <w:pStyle w:val="Notedebasdepage"/>
        <w:rPr>
          <w:rFonts w:cstheme="minorHAnsi"/>
        </w:rPr>
      </w:pPr>
      <w:r>
        <w:rPr>
          <w:rStyle w:val="Appelnotedebasdep"/>
          <w:rFonts w:cstheme="minorHAnsi"/>
        </w:rPr>
        <w:footnoteRef/>
      </w:r>
      <w:r>
        <w:rPr>
          <w:rFonts w:cstheme="minorHAnsi"/>
        </w:rPr>
        <w:t xml:space="preserve"> I. HACHEZ, </w:t>
      </w:r>
      <w:r>
        <w:rPr>
          <w:rFonts w:cstheme="minorHAnsi"/>
          <w:i/>
          <w:iCs/>
        </w:rPr>
        <w:t xml:space="preserve">Le principe de </w:t>
      </w:r>
      <w:proofErr w:type="spellStart"/>
      <w:r>
        <w:rPr>
          <w:rFonts w:cstheme="minorHAnsi"/>
          <w:i/>
          <w:iCs/>
        </w:rPr>
        <w:t>standstill</w:t>
      </w:r>
      <w:proofErr w:type="spellEnd"/>
      <w:r>
        <w:rPr>
          <w:rFonts w:cstheme="minorHAnsi"/>
          <w:i/>
          <w:iCs/>
        </w:rPr>
        <w:t xml:space="preserve"> dans le droit des droits fondamentaux : une irréversibilité relative, op. </w:t>
      </w:r>
      <w:proofErr w:type="spellStart"/>
      <w:r>
        <w:rPr>
          <w:rFonts w:cstheme="minorHAnsi"/>
          <w:i/>
          <w:iCs/>
        </w:rPr>
        <w:t>cit</w:t>
      </w:r>
      <w:proofErr w:type="spellEnd"/>
      <w:r>
        <w:rPr>
          <w:rFonts w:cstheme="minorHAnsi"/>
          <w:i/>
          <w:iCs/>
        </w:rPr>
        <w:t>.</w:t>
      </w:r>
      <w:r>
        <w:rPr>
          <w:rFonts w:cstheme="minorHAnsi"/>
        </w:rPr>
        <w:t xml:space="preserve">, p. 352-353, n° 321.  </w:t>
      </w:r>
    </w:p>
  </w:footnote>
  <w:footnote w:id="7">
    <w:p w:rsidR="0081223F" w:rsidRDefault="0081223F" w:rsidP="00D33D8E">
      <w:pPr>
        <w:pStyle w:val="Notedebasdepage"/>
        <w:rPr>
          <w:rFonts w:cstheme="minorHAnsi"/>
        </w:rPr>
      </w:pPr>
      <w:r>
        <w:rPr>
          <w:rStyle w:val="Appelnotedebasdep"/>
          <w:rFonts w:cstheme="minorHAnsi"/>
        </w:rPr>
        <w:footnoteRef/>
      </w:r>
      <w:r>
        <w:rPr>
          <w:rFonts w:cstheme="minorHAnsi"/>
        </w:rPr>
        <w:t xml:space="preserve"> </w:t>
      </w:r>
      <w:r>
        <w:rPr>
          <w:rFonts w:cstheme="minorHAnsi"/>
          <w:bCs/>
        </w:rPr>
        <w:t xml:space="preserve">F. LAMBINET, « </w:t>
      </w:r>
      <w:r>
        <w:rPr>
          <w:rFonts w:cstheme="minorHAnsi"/>
          <w:bCs/>
          <w:i/>
        </w:rPr>
        <w:t xml:space="preserve">Mise en œuvre du principe de </w:t>
      </w:r>
      <w:proofErr w:type="spellStart"/>
      <w:r>
        <w:rPr>
          <w:rFonts w:cstheme="minorHAnsi"/>
          <w:bCs/>
          <w:i/>
        </w:rPr>
        <w:t>standstill</w:t>
      </w:r>
      <w:proofErr w:type="spellEnd"/>
      <w:r>
        <w:rPr>
          <w:rFonts w:cstheme="minorHAnsi"/>
          <w:bCs/>
          <w:i/>
        </w:rPr>
        <w:t xml:space="preserve"> dans le droit de l'assurance chômage : quelques observations en marge </w:t>
      </w:r>
      <w:r>
        <w:rPr>
          <w:rFonts w:cstheme="minorHAnsi"/>
          <w:i/>
        </w:rPr>
        <w:t xml:space="preserve">de l'arrêt </w:t>
      </w:r>
      <w:r>
        <w:rPr>
          <w:rFonts w:cstheme="minorHAnsi"/>
          <w:bCs/>
          <w:i/>
        </w:rPr>
        <w:t>de la Cour de cassation du 5 mars 2018</w:t>
      </w:r>
      <w:r>
        <w:rPr>
          <w:rFonts w:cstheme="minorHAnsi"/>
          <w:bCs/>
        </w:rPr>
        <w:t xml:space="preserve"> », Terra Laboris, p.9.</w:t>
      </w:r>
    </w:p>
  </w:footnote>
  <w:footnote w:id="8">
    <w:p w:rsidR="0081223F" w:rsidRDefault="0081223F" w:rsidP="00D33D8E">
      <w:pPr>
        <w:pStyle w:val="Notedebasdepage"/>
        <w:rPr>
          <w:rFonts w:cstheme="minorHAnsi"/>
          <w:lang w:val="en-GB"/>
        </w:rPr>
      </w:pPr>
      <w:r>
        <w:rPr>
          <w:rStyle w:val="Appelnotedebasdep"/>
          <w:rFonts w:cstheme="minorHAnsi"/>
        </w:rPr>
        <w:footnoteRef/>
      </w:r>
      <w:r>
        <w:rPr>
          <w:rFonts w:cstheme="minorHAnsi"/>
          <w:lang w:val="en-GB"/>
        </w:rPr>
        <w:t xml:space="preserve"> F. LAMBINET, </w:t>
      </w:r>
      <w:proofErr w:type="spellStart"/>
      <w:r>
        <w:rPr>
          <w:rFonts w:cstheme="minorHAnsi"/>
          <w:i/>
          <w:lang w:val="en-GB"/>
        </w:rPr>
        <w:t>op.cit</w:t>
      </w:r>
      <w:proofErr w:type="spellEnd"/>
      <w:r>
        <w:rPr>
          <w:rFonts w:cstheme="minorHAnsi"/>
          <w:i/>
          <w:lang w:val="en-GB"/>
        </w:rPr>
        <w:t xml:space="preserve">., </w:t>
      </w:r>
      <w:r>
        <w:rPr>
          <w:rFonts w:cstheme="minorHAnsi"/>
          <w:lang w:val="en-GB"/>
        </w:rPr>
        <w:t>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1223F" w:rsidRPr="00E92C6E">
      <w:tc>
        <w:tcPr>
          <w:tcW w:w="3200" w:type="dxa"/>
          <w:tcMar>
            <w:top w:w="55" w:type="dxa"/>
            <w:left w:w="55" w:type="dxa"/>
            <w:bottom w:w="55" w:type="dxa"/>
            <w:right w:w="55" w:type="dxa"/>
          </w:tcMar>
        </w:tcPr>
        <w:p w:rsidR="0081223F" w:rsidRDefault="0081223F">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2601/ A</w:t>
          </w:r>
        </w:p>
        <w:p w:rsidR="0081223F" w:rsidRPr="00E92C6E" w:rsidRDefault="0081223F">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20/ 2904/ A</w:t>
          </w:r>
        </w:p>
      </w:tc>
      <w:tc>
        <w:tcPr>
          <w:tcW w:w="3200" w:type="dxa"/>
          <w:tcMar>
            <w:top w:w="55" w:type="dxa"/>
            <w:left w:w="55" w:type="dxa"/>
            <w:bottom w:w="55" w:type="dxa"/>
            <w:right w:w="55" w:type="dxa"/>
          </w:tcMar>
        </w:tcPr>
        <w:p w:rsidR="0081223F" w:rsidRPr="00852979" w:rsidRDefault="0081223F">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r w:rsidR="00C146FF">
            <w:rPr>
              <w:rFonts w:asciiTheme="minorHAnsi" w:hAnsiTheme="minorHAnsi" w:cstheme="minorHAnsi"/>
              <w:b/>
              <w:bCs/>
              <w:sz w:val="22"/>
              <w:szCs w:val="22"/>
              <w:lang w:val="nl-BE"/>
            </w:rPr>
            <w:t>2555</w:t>
          </w:r>
        </w:p>
      </w:tc>
      <w:tc>
        <w:tcPr>
          <w:tcW w:w="3200" w:type="dxa"/>
          <w:tcMar>
            <w:top w:w="55" w:type="dxa"/>
            <w:left w:w="55" w:type="dxa"/>
            <w:bottom w:w="55" w:type="dxa"/>
            <w:right w:w="55" w:type="dxa"/>
          </w:tcMar>
        </w:tcPr>
        <w:p w:rsidR="0081223F" w:rsidRPr="00E92C6E" w:rsidRDefault="0081223F"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173794">
            <w:rPr>
              <w:rFonts w:asciiTheme="minorHAnsi" w:hAnsiTheme="minorHAnsi" w:cstheme="minorHAnsi"/>
              <w:b/>
              <w:bCs/>
              <w:noProof/>
              <w:sz w:val="22"/>
              <w:szCs w:val="22"/>
            </w:rPr>
            <w:t>9</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173794">
            <w:rPr>
              <w:rFonts w:asciiTheme="minorHAnsi" w:hAnsiTheme="minorHAnsi" w:cstheme="minorHAnsi"/>
              <w:b/>
              <w:bCs/>
              <w:noProof/>
              <w:sz w:val="22"/>
              <w:szCs w:val="22"/>
            </w:rPr>
            <w:t>9</w:t>
          </w:r>
          <w:r>
            <w:rPr>
              <w:rFonts w:asciiTheme="minorHAnsi" w:hAnsiTheme="minorHAnsi" w:cstheme="minorHAnsi"/>
              <w:b/>
              <w:bCs/>
              <w:sz w:val="22"/>
              <w:szCs w:val="22"/>
            </w:rPr>
            <w:fldChar w:fldCharType="end"/>
          </w:r>
        </w:p>
      </w:tc>
    </w:tr>
  </w:tbl>
  <w:p w:rsidR="0081223F" w:rsidRDefault="0081223F">
    <w:pPr>
      <w:pStyle w:val="En-tte"/>
      <w:pBdr>
        <w:bottom w:val="single" w:sz="6" w:space="1" w:color="auto"/>
      </w:pBdr>
    </w:pPr>
  </w:p>
  <w:p w:rsidR="0081223F" w:rsidRDefault="008122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1223F" w:rsidRPr="005644A1" w:rsidTr="00D30E35">
      <w:tc>
        <w:tcPr>
          <w:tcW w:w="3200" w:type="dxa"/>
          <w:tcMar>
            <w:top w:w="55" w:type="dxa"/>
            <w:left w:w="55" w:type="dxa"/>
            <w:bottom w:w="55" w:type="dxa"/>
            <w:right w:w="55" w:type="dxa"/>
          </w:tcMar>
        </w:tcPr>
        <w:p w:rsidR="0081223F" w:rsidRPr="005644A1" w:rsidRDefault="0081223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2601/ A</w:t>
          </w:r>
        </w:p>
      </w:tc>
      <w:tc>
        <w:tcPr>
          <w:tcW w:w="3200" w:type="dxa"/>
          <w:tcMar>
            <w:top w:w="55" w:type="dxa"/>
            <w:left w:w="55" w:type="dxa"/>
            <w:bottom w:w="55" w:type="dxa"/>
            <w:right w:w="55" w:type="dxa"/>
          </w:tcMar>
        </w:tcPr>
        <w:p w:rsidR="0081223F" w:rsidRPr="005644A1" w:rsidRDefault="0081223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rsidR="0081223F" w:rsidRPr="005644A1" w:rsidRDefault="0081223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81223F" w:rsidRDefault="008122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1133140"/>
    <w:multiLevelType w:val="hybridMultilevel"/>
    <w:tmpl w:val="3F3C4FE8"/>
    <w:lvl w:ilvl="0" w:tplc="DF3A606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F0BE3FC4">
      <w:start w:val="1"/>
      <w:numFmt w:val="lowerLetter"/>
      <w:lvlText w:val="%3)"/>
      <w:lvlJc w:val="left"/>
      <w:pPr>
        <w:ind w:left="1980" w:hanging="36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FC7C07"/>
    <w:multiLevelType w:val="hybridMultilevel"/>
    <w:tmpl w:val="5CC6AC64"/>
    <w:lvl w:ilvl="0" w:tplc="E8E89E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755FB7"/>
    <w:multiLevelType w:val="hybridMultilevel"/>
    <w:tmpl w:val="562A13D0"/>
    <w:lvl w:ilvl="0" w:tplc="429E2C92">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FC5934"/>
    <w:multiLevelType w:val="hybridMultilevel"/>
    <w:tmpl w:val="703C3A70"/>
    <w:lvl w:ilvl="0" w:tplc="DF3A60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54EF9"/>
    <w:multiLevelType w:val="hybridMultilevel"/>
    <w:tmpl w:val="D8B63F62"/>
    <w:lvl w:ilvl="0" w:tplc="429E2C92">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5078A8"/>
    <w:multiLevelType w:val="hybridMultilevel"/>
    <w:tmpl w:val="DA9C33C0"/>
    <w:lvl w:ilvl="0" w:tplc="08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3548ECC">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261EF5"/>
    <w:multiLevelType w:val="hybridMultilevel"/>
    <w:tmpl w:val="66C04B6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C38736B"/>
    <w:multiLevelType w:val="hybridMultilevel"/>
    <w:tmpl w:val="16528502"/>
    <w:lvl w:ilvl="0" w:tplc="8B0CB9F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CF706D0"/>
    <w:multiLevelType w:val="hybridMultilevel"/>
    <w:tmpl w:val="9CE45C28"/>
    <w:lvl w:ilvl="0" w:tplc="DF3A60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3"/>
  </w:num>
  <w:num w:numId="6">
    <w:abstractNumId w:val="14"/>
  </w:num>
  <w:num w:numId="7">
    <w:abstractNumId w:val="11"/>
  </w:num>
  <w:num w:numId="8">
    <w:abstractNumId w:val="8"/>
  </w:num>
  <w:num w:numId="9">
    <w:abstractNumId w:val="4"/>
  </w:num>
  <w:num w:numId="10">
    <w:abstractNumId w:val="3"/>
  </w:num>
  <w:num w:numId="11">
    <w:abstractNumId w:val="1"/>
  </w:num>
  <w:num w:numId="12">
    <w:abstractNumId w:val="9"/>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47C26"/>
    <w:rsid w:val="00052E26"/>
    <w:rsid w:val="000606F4"/>
    <w:rsid w:val="00065F07"/>
    <w:rsid w:val="00072F3B"/>
    <w:rsid w:val="000B40C2"/>
    <w:rsid w:val="000B66EF"/>
    <w:rsid w:val="000F785A"/>
    <w:rsid w:val="00151713"/>
    <w:rsid w:val="00173794"/>
    <w:rsid w:val="00193F9B"/>
    <w:rsid w:val="00194937"/>
    <w:rsid w:val="001D4B8C"/>
    <w:rsid w:val="00213290"/>
    <w:rsid w:val="002251A0"/>
    <w:rsid w:val="002522AF"/>
    <w:rsid w:val="002A3F32"/>
    <w:rsid w:val="002A4ACD"/>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7B93"/>
    <w:rsid w:val="006C0072"/>
    <w:rsid w:val="006D5ED7"/>
    <w:rsid w:val="006E617E"/>
    <w:rsid w:val="00713878"/>
    <w:rsid w:val="00716DAD"/>
    <w:rsid w:val="00763852"/>
    <w:rsid w:val="00780B98"/>
    <w:rsid w:val="007A33A4"/>
    <w:rsid w:val="007B75A5"/>
    <w:rsid w:val="007F2605"/>
    <w:rsid w:val="00810D4C"/>
    <w:rsid w:val="0081223F"/>
    <w:rsid w:val="00820488"/>
    <w:rsid w:val="008206B3"/>
    <w:rsid w:val="00826D28"/>
    <w:rsid w:val="008272DE"/>
    <w:rsid w:val="00831B43"/>
    <w:rsid w:val="00852979"/>
    <w:rsid w:val="00854595"/>
    <w:rsid w:val="00896B24"/>
    <w:rsid w:val="008A2294"/>
    <w:rsid w:val="008A5ACB"/>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B30"/>
    <w:rsid w:val="00C146FF"/>
    <w:rsid w:val="00C708B0"/>
    <w:rsid w:val="00C907A3"/>
    <w:rsid w:val="00C90CC4"/>
    <w:rsid w:val="00CA0AE0"/>
    <w:rsid w:val="00CA2E1C"/>
    <w:rsid w:val="00CB581E"/>
    <w:rsid w:val="00CC093E"/>
    <w:rsid w:val="00CE492D"/>
    <w:rsid w:val="00D30E35"/>
    <w:rsid w:val="00D33D8E"/>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33D8E"/>
    <w:pPr>
      <w:widowControl/>
      <w:suppressAutoHyphens w:val="0"/>
      <w:autoSpaceDN/>
      <w:textAlignment w:val="auto"/>
    </w:pPr>
    <w:rPr>
      <w:rFonts w:asciiTheme="minorHAnsi" w:eastAsiaTheme="minorHAnsi" w:hAnsiTheme="minorHAnsi" w:cstheme="minorBidi"/>
      <w:kern w:val="0"/>
      <w:sz w:val="20"/>
      <w:szCs w:val="20"/>
      <w:lang w:val="fr-FR" w:eastAsia="en-US"/>
    </w:rPr>
  </w:style>
  <w:style w:type="character" w:customStyle="1" w:styleId="NotedebasdepageCar">
    <w:name w:val="Note de bas de page Car"/>
    <w:basedOn w:val="Policepardfaut"/>
    <w:link w:val="Notedebasdepage"/>
    <w:uiPriority w:val="99"/>
    <w:semiHidden/>
    <w:rsid w:val="00D33D8E"/>
    <w:rPr>
      <w:sz w:val="20"/>
      <w:szCs w:val="20"/>
      <w:lang w:val="fr-FR"/>
    </w:rPr>
  </w:style>
  <w:style w:type="character" w:styleId="Appelnotedebasdep">
    <w:name w:val="footnote reference"/>
    <w:basedOn w:val="Policepardfaut"/>
    <w:uiPriority w:val="99"/>
    <w:semiHidden/>
    <w:unhideWhenUsed/>
    <w:rsid w:val="00D33D8E"/>
    <w:rPr>
      <w:vertAlign w:val="superscript"/>
    </w:rPr>
  </w:style>
  <w:style w:type="character" w:styleId="Lienhypertexte">
    <w:name w:val="Hyperlink"/>
    <w:basedOn w:val="Policepardfaut"/>
    <w:uiPriority w:val="99"/>
    <w:semiHidden/>
    <w:unhideWhenUsed/>
    <w:rsid w:val="00D33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29145940">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27780148">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nem.be/fr/glossai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erralabori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A2E5D718507B49AAAA5C340D6F1DA661"/>
        <w:category>
          <w:name w:val="Général"/>
          <w:gallery w:val="placeholder"/>
        </w:category>
        <w:types>
          <w:type w:val="bbPlcHdr"/>
        </w:types>
        <w:behaviors>
          <w:behavior w:val="content"/>
        </w:behaviors>
        <w:guid w:val="{26334C54-D1E2-4CF1-B674-884FB178E105}"/>
      </w:docPartPr>
      <w:docPartBody>
        <w:p w:rsidR="008F6135" w:rsidRDefault="001D3D98" w:rsidP="001D3D98">
          <w:pPr>
            <w:pStyle w:val="A2E5D718507B49AAAA5C340D6F1DA661"/>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C7C29"/>
    <w:rsid w:val="001D3D98"/>
    <w:rsid w:val="0022769E"/>
    <w:rsid w:val="00744A85"/>
    <w:rsid w:val="008F6135"/>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3D98"/>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A2E5D718507B49AAAA5C340D6F1DA661">
    <w:name w:val="A2E5D718507B49AAAA5C340D6F1DA661"/>
    <w:rsid w:val="001D3D9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5E79B-4EB7-4473-A456-A30FFCBD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2800</Words>
  <Characters>15966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2022-03-11T09:59:00Z</dcterms:created>
  <dcterms:modified xsi:type="dcterms:W3CDTF">2022-03-29T07:57:00Z</dcterms:modified>
</cp:coreProperties>
</file>