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B505" w14:textId="77777777" w:rsidR="00B17BFB" w:rsidRDefault="00436627" w:rsidP="004108D4">
      <w:pPr>
        <w:pStyle w:val="Titre1"/>
        <w:ind w:right="-776"/>
        <w:jc w:val="center"/>
        <w:rPr>
          <w:rFonts w:ascii="Arial" w:hAnsi="Arial" w:cs="Arial"/>
          <w:spacing w:val="20"/>
          <w:sz w:val="32"/>
          <w:szCs w:val="32"/>
          <w:lang w:val="fr-BE"/>
        </w:rPr>
      </w:pPr>
      <w:r>
        <w:rPr>
          <w:rFonts w:ascii="Arial" w:hAnsi="Arial" w:cs="Arial"/>
          <w:noProof/>
          <w:sz w:val="28"/>
          <w:szCs w:val="28"/>
          <w:lang w:eastAsia="en-GB"/>
        </w:rPr>
        <w:drawing>
          <wp:anchor distT="0" distB="0" distL="114300" distR="114300" simplePos="0" relativeHeight="251659264" behindDoc="0" locked="0" layoutInCell="1" allowOverlap="0" wp14:anchorId="56146848" wp14:editId="67F1664C">
            <wp:simplePos x="0" y="0"/>
            <wp:positionH relativeFrom="column">
              <wp:posOffset>-711200</wp:posOffset>
            </wp:positionH>
            <wp:positionV relativeFrom="paragraph">
              <wp:posOffset>0</wp:posOffset>
            </wp:positionV>
            <wp:extent cx="990600" cy="990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l="-10358" t="-1904" r="-10358" b="-1904"/>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B6A3D" w14:textId="77777777" w:rsidR="00B17BFB" w:rsidRPr="000C480B" w:rsidRDefault="00B17BFB" w:rsidP="00B17BFB">
      <w:pPr>
        <w:pStyle w:val="Sous-titre"/>
        <w:ind w:left="2160"/>
        <w:rPr>
          <w:rFonts w:ascii="Times New Roman" w:hAnsi="Times New Roman"/>
          <w:sz w:val="28"/>
          <w:szCs w:val="28"/>
        </w:rPr>
      </w:pPr>
      <w:r w:rsidRPr="000C480B">
        <w:rPr>
          <w:rFonts w:ascii="Times New Roman" w:hAnsi="Times New Roman"/>
          <w:sz w:val="28"/>
          <w:szCs w:val="28"/>
        </w:rPr>
        <w:t>TRIBUNAL DU TRAVAIL DE LIEGE</w:t>
      </w:r>
    </w:p>
    <w:p w14:paraId="200795E1" w14:textId="77777777" w:rsidR="00B17BFB" w:rsidRPr="000C480B" w:rsidRDefault="00B17BFB" w:rsidP="00B17BFB">
      <w:pPr>
        <w:pStyle w:val="Sous-titre"/>
        <w:jc w:val="center"/>
        <w:rPr>
          <w:rFonts w:ascii="Times New Roman" w:hAnsi="Times New Roman"/>
          <w:sz w:val="28"/>
          <w:szCs w:val="28"/>
        </w:rPr>
      </w:pPr>
      <w:r w:rsidRPr="000C480B">
        <w:rPr>
          <w:rFonts w:ascii="Times New Roman" w:hAnsi="Times New Roman"/>
          <w:sz w:val="28"/>
          <w:szCs w:val="28"/>
        </w:rPr>
        <w:t xml:space="preserve">     DIVISION DE VERVIERS</w:t>
      </w:r>
    </w:p>
    <w:p w14:paraId="5E0DABFB" w14:textId="77777777" w:rsidR="00B17BFB" w:rsidRPr="000C480B" w:rsidRDefault="00B17BFB" w:rsidP="00B17BFB">
      <w:pPr>
        <w:pStyle w:val="Sous-titre"/>
        <w:jc w:val="center"/>
        <w:rPr>
          <w:rFonts w:ascii="Times New Roman" w:hAnsi="Times New Roman"/>
          <w:sz w:val="28"/>
          <w:szCs w:val="28"/>
        </w:rPr>
      </w:pPr>
    </w:p>
    <w:p w14:paraId="4D8BB4D1" w14:textId="77777777" w:rsidR="00B17BFB" w:rsidRPr="000C480B" w:rsidRDefault="00B17BFB" w:rsidP="00B17BFB">
      <w:pPr>
        <w:pStyle w:val="Sous-titre"/>
        <w:jc w:val="center"/>
        <w:rPr>
          <w:rFonts w:ascii="Times New Roman" w:hAnsi="Times New Roman"/>
          <w:sz w:val="28"/>
          <w:szCs w:val="28"/>
        </w:rPr>
      </w:pPr>
      <w:r w:rsidRPr="000C480B">
        <w:rPr>
          <w:rFonts w:ascii="Times New Roman" w:hAnsi="Times New Roman"/>
          <w:sz w:val="28"/>
          <w:szCs w:val="28"/>
        </w:rPr>
        <w:t xml:space="preserve">     AUDIENCE PUBLIQUE </w:t>
      </w:r>
      <w:r w:rsidRPr="00727D89">
        <w:rPr>
          <w:rFonts w:ascii="Times New Roman" w:hAnsi="Times New Roman"/>
          <w:sz w:val="28"/>
          <w:szCs w:val="28"/>
        </w:rPr>
        <w:t>DU</w:t>
      </w:r>
      <w:r w:rsidR="00A3543F">
        <w:rPr>
          <w:rFonts w:ascii="Times New Roman" w:hAnsi="Times New Roman"/>
          <w:sz w:val="28"/>
          <w:szCs w:val="28"/>
        </w:rPr>
        <w:t xml:space="preserve"> 1</w:t>
      </w:r>
      <w:r w:rsidR="00A3543F">
        <w:rPr>
          <w:rFonts w:ascii="Times New Roman" w:hAnsi="Times New Roman"/>
          <w:sz w:val="28"/>
          <w:szCs w:val="28"/>
          <w:vertAlign w:val="superscript"/>
        </w:rPr>
        <w:t xml:space="preserve">er </w:t>
      </w:r>
      <w:r w:rsidR="00A3543F">
        <w:rPr>
          <w:rFonts w:ascii="Times New Roman" w:hAnsi="Times New Roman"/>
          <w:sz w:val="28"/>
          <w:szCs w:val="28"/>
        </w:rPr>
        <w:t>SEPTEMBRE</w:t>
      </w:r>
      <w:r w:rsidRPr="00727D89">
        <w:rPr>
          <w:rFonts w:ascii="Times New Roman" w:hAnsi="Times New Roman"/>
          <w:sz w:val="28"/>
          <w:szCs w:val="28"/>
        </w:rPr>
        <w:t xml:space="preserve"> </w:t>
      </w:r>
      <w:r w:rsidR="009A5A3A">
        <w:rPr>
          <w:rFonts w:ascii="Times New Roman" w:hAnsi="Times New Roman"/>
          <w:sz w:val="28"/>
          <w:szCs w:val="28"/>
        </w:rPr>
        <w:t>2022</w:t>
      </w:r>
      <w:r w:rsidRPr="00727D89">
        <w:rPr>
          <w:rFonts w:ascii="Times New Roman" w:hAnsi="Times New Roman"/>
          <w:sz w:val="28"/>
          <w:szCs w:val="28"/>
        </w:rPr>
        <w:t>.</w:t>
      </w:r>
    </w:p>
    <w:p w14:paraId="03A4A0B4" w14:textId="77777777" w:rsidR="00B17BFB" w:rsidRPr="000C480B" w:rsidRDefault="000C480B" w:rsidP="00B17BFB">
      <w:pPr>
        <w:pStyle w:val="Sous-titre"/>
        <w:jc w:val="center"/>
        <w:rPr>
          <w:rFonts w:ascii="Times New Roman" w:hAnsi="Times New Roman"/>
          <w:sz w:val="28"/>
          <w:szCs w:val="28"/>
        </w:rPr>
      </w:pPr>
      <w:r>
        <w:rPr>
          <w:rFonts w:ascii="Times New Roman" w:hAnsi="Times New Roman"/>
          <w:sz w:val="28"/>
          <w:szCs w:val="28"/>
        </w:rPr>
        <w:t>(2</w:t>
      </w:r>
      <w:r w:rsidRPr="000C480B">
        <w:rPr>
          <w:rFonts w:ascii="Times New Roman" w:hAnsi="Times New Roman"/>
          <w:sz w:val="28"/>
          <w:szCs w:val="28"/>
          <w:vertAlign w:val="superscript"/>
        </w:rPr>
        <w:t>ème</w:t>
      </w:r>
      <w:r>
        <w:rPr>
          <w:rFonts w:ascii="Times New Roman" w:hAnsi="Times New Roman"/>
          <w:sz w:val="28"/>
          <w:szCs w:val="28"/>
        </w:rPr>
        <w:t xml:space="preserve"> </w:t>
      </w:r>
      <w:r w:rsidR="00B17BFB" w:rsidRPr="000C480B">
        <w:rPr>
          <w:rFonts w:ascii="Times New Roman" w:hAnsi="Times New Roman"/>
          <w:sz w:val="28"/>
          <w:szCs w:val="28"/>
        </w:rPr>
        <w:t>chambre)</w:t>
      </w:r>
    </w:p>
    <w:p w14:paraId="5DB5C6A5" w14:textId="77777777" w:rsidR="00B17BFB" w:rsidRPr="000C480B" w:rsidRDefault="00B17BFB" w:rsidP="00B17BFB">
      <w:pPr>
        <w:rPr>
          <w:rFonts w:cs="Times New Roman"/>
        </w:rPr>
      </w:pPr>
    </w:p>
    <w:p w14:paraId="21929D0E" w14:textId="77777777" w:rsidR="00B17BFB" w:rsidRPr="000C480B" w:rsidRDefault="00B17BFB" w:rsidP="00B17BFB">
      <w:pPr>
        <w:pStyle w:val="Textebrut"/>
        <w:rPr>
          <w:rFonts w:ascii="Times New Roman" w:hAnsi="Times New Roman" w:cs="Times New Roman"/>
          <w:b/>
          <w:sz w:val="22"/>
          <w:szCs w:val="22"/>
          <w:lang w:val="fr-BE"/>
        </w:rPr>
      </w:pPr>
    </w:p>
    <w:p w14:paraId="109FF842" w14:textId="77777777" w:rsidR="00B17BFB" w:rsidRPr="00207286" w:rsidRDefault="00B17BFB" w:rsidP="00B17BFB">
      <w:pPr>
        <w:pStyle w:val="Textebrut"/>
        <w:jc w:val="center"/>
        <w:rPr>
          <w:rFonts w:ascii="Times New Roman" w:hAnsi="Times New Roman" w:cs="Times New Roman"/>
          <w:b/>
          <w:sz w:val="24"/>
          <w:szCs w:val="24"/>
          <w:lang w:val="fr-FR"/>
        </w:rPr>
      </w:pPr>
      <w:r w:rsidRPr="00207286">
        <w:rPr>
          <w:rFonts w:ascii="Times New Roman" w:hAnsi="Times New Roman" w:cs="Times New Roman"/>
          <w:b/>
          <w:sz w:val="24"/>
          <w:szCs w:val="24"/>
          <w:lang w:val="fr-FR"/>
        </w:rPr>
        <w:t>R.G. : 1</w:t>
      </w:r>
      <w:r w:rsidR="009A5A3A">
        <w:rPr>
          <w:rFonts w:ascii="Times New Roman" w:hAnsi="Times New Roman" w:cs="Times New Roman"/>
          <w:b/>
          <w:sz w:val="24"/>
          <w:szCs w:val="24"/>
          <w:lang w:val="fr-FR"/>
        </w:rPr>
        <w:t>7</w:t>
      </w:r>
      <w:r w:rsidRPr="00207286">
        <w:rPr>
          <w:rFonts w:ascii="Times New Roman" w:hAnsi="Times New Roman" w:cs="Times New Roman"/>
          <w:b/>
          <w:sz w:val="24"/>
          <w:szCs w:val="24"/>
          <w:lang w:val="fr-FR"/>
        </w:rPr>
        <w:t>/</w:t>
      </w:r>
      <w:r w:rsidR="009A5A3A">
        <w:rPr>
          <w:rFonts w:ascii="Times New Roman" w:hAnsi="Times New Roman" w:cs="Times New Roman"/>
          <w:b/>
          <w:sz w:val="24"/>
          <w:szCs w:val="24"/>
          <w:lang w:val="fr-FR"/>
        </w:rPr>
        <w:t>255</w:t>
      </w:r>
      <w:r w:rsidRPr="00207286">
        <w:rPr>
          <w:rFonts w:ascii="Times New Roman" w:hAnsi="Times New Roman" w:cs="Times New Roman"/>
          <w:b/>
          <w:sz w:val="24"/>
          <w:szCs w:val="24"/>
          <w:lang w:val="fr-FR"/>
        </w:rPr>
        <w:t>/A</w:t>
      </w:r>
      <w:r w:rsidRPr="00207286">
        <w:rPr>
          <w:rFonts w:ascii="Times New Roman" w:hAnsi="Times New Roman" w:cs="Times New Roman"/>
          <w:b/>
          <w:sz w:val="24"/>
          <w:szCs w:val="24"/>
          <w:lang w:val="fr-FR"/>
        </w:rPr>
        <w:tab/>
      </w:r>
      <w:r w:rsidRPr="00207286">
        <w:rPr>
          <w:rFonts w:ascii="Times New Roman" w:hAnsi="Times New Roman" w:cs="Times New Roman"/>
          <w:b/>
          <w:sz w:val="24"/>
          <w:szCs w:val="24"/>
          <w:lang w:val="fr-FR"/>
        </w:rPr>
        <w:tab/>
      </w:r>
      <w:r w:rsidRPr="00207286">
        <w:rPr>
          <w:rFonts w:ascii="Times New Roman" w:hAnsi="Times New Roman" w:cs="Times New Roman"/>
          <w:b/>
          <w:sz w:val="24"/>
          <w:szCs w:val="24"/>
          <w:lang w:val="fr-FR"/>
        </w:rPr>
        <w:tab/>
      </w:r>
      <w:r w:rsidRPr="00207286">
        <w:rPr>
          <w:rFonts w:ascii="Times New Roman" w:hAnsi="Times New Roman" w:cs="Times New Roman"/>
          <w:b/>
          <w:sz w:val="24"/>
          <w:szCs w:val="24"/>
          <w:lang w:val="fr-FR"/>
        </w:rPr>
        <w:tab/>
      </w:r>
      <w:r w:rsidRPr="00207286">
        <w:rPr>
          <w:rFonts w:ascii="Times New Roman" w:hAnsi="Times New Roman" w:cs="Times New Roman"/>
          <w:b/>
          <w:sz w:val="24"/>
          <w:szCs w:val="24"/>
          <w:lang w:val="fr-FR"/>
        </w:rPr>
        <w:tab/>
      </w:r>
      <w:proofErr w:type="spellStart"/>
      <w:r w:rsidRPr="00207286">
        <w:rPr>
          <w:rFonts w:ascii="Times New Roman" w:hAnsi="Times New Roman" w:cs="Times New Roman"/>
          <w:b/>
          <w:color w:val="FF0000"/>
          <w:sz w:val="24"/>
          <w:szCs w:val="24"/>
          <w:lang w:val="fr-FR"/>
        </w:rPr>
        <w:t>Rép</w:t>
      </w:r>
      <w:proofErr w:type="spellEnd"/>
      <w:r w:rsidRPr="00207286">
        <w:rPr>
          <w:rFonts w:ascii="Times New Roman" w:hAnsi="Times New Roman" w:cs="Times New Roman"/>
          <w:b/>
          <w:color w:val="FF0000"/>
          <w:sz w:val="24"/>
          <w:szCs w:val="24"/>
          <w:lang w:val="fr-FR"/>
        </w:rPr>
        <w:t xml:space="preserve">: </w:t>
      </w:r>
      <w:r w:rsidR="009A5A3A">
        <w:rPr>
          <w:rFonts w:ascii="Times New Roman" w:hAnsi="Times New Roman" w:cs="Times New Roman"/>
          <w:b/>
          <w:color w:val="FF0000"/>
          <w:sz w:val="24"/>
          <w:szCs w:val="24"/>
          <w:lang w:val="fr-FR"/>
        </w:rPr>
        <w:t>22</w:t>
      </w:r>
      <w:r w:rsidRPr="00207286">
        <w:rPr>
          <w:rFonts w:ascii="Times New Roman" w:hAnsi="Times New Roman" w:cs="Times New Roman"/>
          <w:b/>
          <w:color w:val="FF0000"/>
          <w:sz w:val="24"/>
          <w:szCs w:val="24"/>
          <w:lang w:val="fr-FR"/>
        </w:rPr>
        <w:t>/</w:t>
      </w:r>
    </w:p>
    <w:p w14:paraId="6403AB1B" w14:textId="77777777" w:rsidR="00B17BFB" w:rsidRPr="00207286" w:rsidRDefault="00B17BFB" w:rsidP="00B17BFB">
      <w:pPr>
        <w:pStyle w:val="Textebrut"/>
        <w:jc w:val="center"/>
        <w:rPr>
          <w:rFonts w:ascii="Times New Roman" w:hAnsi="Times New Roman" w:cs="Times New Roman"/>
          <w:b/>
          <w:sz w:val="24"/>
          <w:szCs w:val="24"/>
          <w:lang w:val="fr-FR"/>
        </w:rPr>
      </w:pPr>
    </w:p>
    <w:p w14:paraId="7BC80E4F" w14:textId="77777777" w:rsidR="00B17BFB" w:rsidRPr="00207286" w:rsidRDefault="00B17BFB" w:rsidP="00B17BFB">
      <w:pPr>
        <w:pStyle w:val="Textebrut"/>
        <w:jc w:val="center"/>
        <w:rPr>
          <w:rFonts w:ascii="Times New Roman" w:hAnsi="Times New Roman" w:cs="Times New Roman"/>
          <w:b/>
          <w:sz w:val="24"/>
          <w:szCs w:val="24"/>
          <w:lang w:val="fr-FR"/>
        </w:rPr>
      </w:pPr>
    </w:p>
    <w:p w14:paraId="44D9F54B" w14:textId="77777777" w:rsidR="00E60675" w:rsidRPr="00E60675" w:rsidRDefault="00E60675" w:rsidP="00637066">
      <w:pPr>
        <w:pStyle w:val="Standard"/>
        <w:ind w:firstLine="709"/>
        <w:rPr>
          <w:rFonts w:cs="Times New Roman"/>
          <w:b/>
          <w:bCs/>
          <w:lang w:val="fr-BE"/>
        </w:rPr>
      </w:pPr>
      <w:r w:rsidRPr="00E60675">
        <w:rPr>
          <w:rFonts w:cs="Times New Roman"/>
          <w:b/>
          <w:bCs/>
          <w:lang w:val="fr-BE"/>
        </w:rPr>
        <w:t>Vidant son délibéré, le Tribunal a prononcé le jugement suivant :</w:t>
      </w:r>
    </w:p>
    <w:p w14:paraId="78A41D2D" w14:textId="77777777" w:rsidR="00B17BFB" w:rsidRDefault="00B17BFB" w:rsidP="00B17BFB">
      <w:pPr>
        <w:pStyle w:val="Textebrut"/>
        <w:rPr>
          <w:rFonts w:ascii="Times New Roman" w:hAnsi="Times New Roman" w:cs="Times New Roman"/>
          <w:u w:val="single"/>
          <w:lang w:val="fr-FR"/>
        </w:rPr>
      </w:pPr>
    </w:p>
    <w:p w14:paraId="4B004CDF" w14:textId="77777777" w:rsidR="00E85900" w:rsidRPr="006755A6" w:rsidRDefault="00E85900" w:rsidP="00B17BFB">
      <w:pPr>
        <w:pStyle w:val="Textebrut"/>
        <w:rPr>
          <w:rFonts w:ascii="Times New Roman" w:hAnsi="Times New Roman" w:cs="Times New Roman"/>
          <w:u w:val="single"/>
          <w:lang w:val="fr-FR"/>
        </w:rPr>
      </w:pPr>
    </w:p>
    <w:p w14:paraId="6591D4DC" w14:textId="77777777" w:rsidR="00B17BFB" w:rsidRPr="006755A6" w:rsidRDefault="00B17BFB" w:rsidP="00B17BFB">
      <w:pPr>
        <w:snapToGrid w:val="0"/>
        <w:jc w:val="center"/>
        <w:rPr>
          <w:rFonts w:cs="Times New Roman"/>
          <w:lang w:val="fr-FR"/>
        </w:rPr>
      </w:pPr>
      <w:r w:rsidRPr="006755A6">
        <w:rPr>
          <w:rFonts w:cs="Times New Roman"/>
          <w:b/>
          <w:lang w:val="fr-FR"/>
        </w:rPr>
        <w:t xml:space="preserve">           En cause de</w:t>
      </w:r>
      <w:r w:rsidRPr="006755A6">
        <w:rPr>
          <w:rFonts w:cs="Times New Roman"/>
          <w:lang w:val="fr-FR"/>
        </w:rPr>
        <w:t xml:space="preserve"> :</w:t>
      </w:r>
    </w:p>
    <w:p w14:paraId="269FF190" w14:textId="77777777" w:rsidR="009A6BC1" w:rsidRPr="006755A6" w:rsidRDefault="009A6BC1" w:rsidP="009A6BC1">
      <w:pPr>
        <w:pStyle w:val="Standard"/>
        <w:jc w:val="both"/>
        <w:rPr>
          <w:rFonts w:eastAsia="Courier" w:cs="Times New Roman"/>
          <w:color w:val="17365D" w:themeColor="text2" w:themeShade="BF"/>
          <w:lang w:val="fr-BE"/>
        </w:rPr>
      </w:pPr>
    </w:p>
    <w:p w14:paraId="6102DB88" w14:textId="77777777" w:rsidR="009A6BC1" w:rsidRPr="006755A6" w:rsidRDefault="009A6BC1" w:rsidP="009A6BC1">
      <w:pPr>
        <w:pStyle w:val="Standard"/>
        <w:jc w:val="both"/>
        <w:rPr>
          <w:rFonts w:cs="Times New Roman"/>
          <w:b/>
          <w:bCs/>
          <w:lang w:val="fr-BE"/>
        </w:rPr>
      </w:pPr>
    </w:p>
    <w:p w14:paraId="45ACCF6A" w14:textId="77777777" w:rsidR="0088358C" w:rsidRDefault="00980631" w:rsidP="009C3806">
      <w:pPr>
        <w:pStyle w:val="Standard"/>
        <w:ind w:left="1418"/>
        <w:rPr>
          <w:rFonts w:cs="Times New Roman"/>
          <w:b/>
          <w:bCs/>
          <w:lang w:val="fr-BE"/>
        </w:rPr>
      </w:pPr>
      <w:r>
        <w:rPr>
          <w:rFonts w:cs="Times New Roman"/>
          <w:b/>
          <w:bCs/>
          <w:lang w:val="fr-BE"/>
        </w:rPr>
        <w:t>C. S.</w:t>
      </w:r>
      <w:r w:rsidR="00E85900">
        <w:rPr>
          <w:rFonts w:cs="Times New Roman"/>
          <w:b/>
          <w:bCs/>
          <w:lang w:val="fr-BE"/>
        </w:rPr>
        <w:t>,</w:t>
      </w:r>
    </w:p>
    <w:p w14:paraId="119DFBA3" w14:textId="77777777" w:rsidR="001C7ACD" w:rsidRPr="00B821E0" w:rsidRDefault="001C7ACD" w:rsidP="009A409F">
      <w:pPr>
        <w:pStyle w:val="Standard"/>
        <w:ind w:left="1418"/>
        <w:rPr>
          <w:rFonts w:cs="Times New Roman"/>
          <w:bCs/>
          <w:lang w:val="fr-BE"/>
        </w:rPr>
      </w:pPr>
      <w:r w:rsidRPr="00B821E0">
        <w:rPr>
          <w:rFonts w:cs="Times New Roman"/>
          <w:bCs/>
          <w:lang w:val="fr-BE"/>
        </w:rPr>
        <w:t>Inscrit au Registre National sous le numéro</w:t>
      </w:r>
      <w:r>
        <w:rPr>
          <w:rFonts w:cs="Times New Roman"/>
          <w:bCs/>
          <w:lang w:val="fr-BE"/>
        </w:rPr>
        <w:t xml:space="preserve"> </w:t>
      </w:r>
      <w:r w:rsidR="004B0AB6">
        <w:rPr>
          <w:rFonts w:cs="Times New Roman"/>
          <w:bCs/>
          <w:lang w:val="fr-BE"/>
        </w:rPr>
        <w:t>59.09.07-007.71</w:t>
      </w:r>
      <w:r>
        <w:rPr>
          <w:rFonts w:cs="Times New Roman"/>
          <w:bCs/>
          <w:lang w:val="fr-BE"/>
        </w:rPr>
        <w:t>,</w:t>
      </w:r>
    </w:p>
    <w:p w14:paraId="74CB65CB" w14:textId="77777777" w:rsidR="001C7ACD" w:rsidRPr="00B821E0" w:rsidRDefault="001C7ACD" w:rsidP="009A409F">
      <w:pPr>
        <w:pStyle w:val="Standard"/>
        <w:ind w:left="1418"/>
        <w:rPr>
          <w:rFonts w:cs="Times New Roman"/>
          <w:bCs/>
          <w:lang w:val="fr-BE"/>
        </w:rPr>
      </w:pPr>
      <w:r w:rsidRPr="00B821E0">
        <w:rPr>
          <w:rFonts w:cs="Times New Roman"/>
          <w:bCs/>
          <w:lang w:val="fr-BE"/>
        </w:rPr>
        <w:t>Domicilié à</w:t>
      </w:r>
      <w:r w:rsidR="004B0AB6">
        <w:rPr>
          <w:rFonts w:cs="Times New Roman"/>
          <w:bCs/>
          <w:lang w:val="fr-BE"/>
        </w:rPr>
        <w:t xml:space="preserve"> 4650 HERVE, </w:t>
      </w:r>
      <w:r w:rsidRPr="00B821E0">
        <w:rPr>
          <w:rFonts w:cs="Times New Roman"/>
          <w:bCs/>
          <w:lang w:val="fr-BE"/>
        </w:rPr>
        <w:t xml:space="preserve"> </w:t>
      </w:r>
      <w:r w:rsidR="004B0AB6" w:rsidRPr="004B0AB6">
        <w:rPr>
          <w:rFonts w:cs="Times New Roman"/>
          <w:bCs/>
          <w:lang w:val="fr-BE"/>
        </w:rPr>
        <w:t>Rue de la Clé 34</w:t>
      </w:r>
      <w:r w:rsidR="004B0AB6">
        <w:rPr>
          <w:rFonts w:cs="Times New Roman"/>
          <w:bCs/>
          <w:lang w:val="fr-BE"/>
        </w:rPr>
        <w:t>.</w:t>
      </w:r>
    </w:p>
    <w:p w14:paraId="3A0D04D2" w14:textId="77777777" w:rsidR="00DE06D6" w:rsidRPr="00DE06D6" w:rsidRDefault="001C7ACD" w:rsidP="00DE06D6">
      <w:pPr>
        <w:pStyle w:val="Standard"/>
        <w:ind w:left="1418"/>
        <w:rPr>
          <w:rFonts w:eastAsia="Arial" w:cs="Times New Roman"/>
          <w:lang w:val="fr-BE"/>
        </w:rPr>
      </w:pPr>
      <w:r w:rsidRPr="005C16AB">
        <w:rPr>
          <w:rFonts w:eastAsia="Arial" w:cs="Times New Roman"/>
          <w:lang w:val="fr-BE"/>
        </w:rPr>
        <w:t xml:space="preserve">Partie demanderesse comparaissant par  </w:t>
      </w:r>
      <w:r w:rsidR="00DE06D6" w:rsidRPr="00DE06D6">
        <w:rPr>
          <w:rFonts w:eastAsia="Arial" w:cs="Times New Roman"/>
          <w:lang w:val="fr-BE"/>
        </w:rPr>
        <w:t xml:space="preserve">Maître HANQUET Ludivine loco Maître ROBIDA Stéphane, avocat à BONCELLES. </w:t>
      </w:r>
    </w:p>
    <w:p w14:paraId="207ED1AB" w14:textId="77777777" w:rsidR="00E85900" w:rsidRDefault="00E85900" w:rsidP="009C3806">
      <w:pPr>
        <w:pStyle w:val="Standard"/>
        <w:ind w:left="1418"/>
        <w:rPr>
          <w:rFonts w:cs="Times New Roman"/>
          <w:bCs/>
          <w:lang w:val="fr-BE"/>
        </w:rPr>
      </w:pPr>
    </w:p>
    <w:p w14:paraId="3C3E5DBF" w14:textId="77777777" w:rsidR="00D305E0" w:rsidRDefault="00D305E0" w:rsidP="009C3806">
      <w:pPr>
        <w:pStyle w:val="Standard"/>
        <w:ind w:left="1418"/>
        <w:rPr>
          <w:rFonts w:cs="Times New Roman"/>
          <w:bCs/>
          <w:caps/>
          <w:lang w:val="fr-BE"/>
        </w:rPr>
      </w:pPr>
    </w:p>
    <w:p w14:paraId="3F9F2CF2" w14:textId="77777777" w:rsidR="00D305E0" w:rsidRDefault="00D305E0" w:rsidP="009C3806">
      <w:pPr>
        <w:pStyle w:val="Standard"/>
        <w:ind w:left="1418"/>
        <w:rPr>
          <w:rFonts w:cs="Times New Roman"/>
          <w:bCs/>
          <w:caps/>
          <w:lang w:val="fr-BE"/>
        </w:rPr>
      </w:pPr>
    </w:p>
    <w:p w14:paraId="588C2178" w14:textId="77777777" w:rsidR="00E85900" w:rsidRDefault="00E85900" w:rsidP="00E85900">
      <w:pPr>
        <w:pStyle w:val="Standard"/>
        <w:ind w:left="3545"/>
        <w:rPr>
          <w:rFonts w:cs="Times New Roman"/>
          <w:bCs/>
          <w:lang w:val="fr-BE"/>
        </w:rPr>
      </w:pPr>
      <w:r>
        <w:rPr>
          <w:rFonts w:cs="Times New Roman"/>
          <w:bCs/>
          <w:caps/>
          <w:lang w:val="fr-BE"/>
        </w:rPr>
        <w:t xml:space="preserve">       contre :</w:t>
      </w:r>
    </w:p>
    <w:p w14:paraId="12ECE578" w14:textId="77777777" w:rsidR="009C3806" w:rsidRDefault="009C3806" w:rsidP="009C3806">
      <w:pPr>
        <w:pStyle w:val="Standard"/>
        <w:ind w:left="1418"/>
        <w:jc w:val="both"/>
        <w:rPr>
          <w:rFonts w:cs="Times New Roman"/>
          <w:bCs/>
          <w:lang w:val="fr-BE"/>
        </w:rPr>
      </w:pPr>
    </w:p>
    <w:p w14:paraId="252BDD26" w14:textId="77777777" w:rsidR="0075625E" w:rsidRDefault="0075625E" w:rsidP="00E85900">
      <w:pPr>
        <w:pStyle w:val="Standard"/>
        <w:ind w:left="709" w:firstLine="709"/>
        <w:jc w:val="both"/>
        <w:rPr>
          <w:rFonts w:cs="Times New Roman"/>
          <w:b/>
          <w:bCs/>
          <w:caps/>
          <w:lang w:val="fr-BE"/>
        </w:rPr>
      </w:pPr>
      <w:r>
        <w:rPr>
          <w:rFonts w:cs="Times New Roman"/>
          <w:b/>
          <w:bCs/>
          <w:caps/>
          <w:lang w:val="fr-BE"/>
        </w:rPr>
        <w:t>VILLE</w:t>
      </w:r>
      <w:r w:rsidR="001372F1" w:rsidRPr="001372F1">
        <w:rPr>
          <w:rFonts w:cs="Times New Roman"/>
          <w:b/>
          <w:bCs/>
          <w:caps/>
          <w:lang w:val="fr-BE"/>
        </w:rPr>
        <w:t xml:space="preserve"> DE HERVE</w:t>
      </w:r>
      <w:r w:rsidR="00E85900">
        <w:rPr>
          <w:rFonts w:cs="Times New Roman"/>
          <w:b/>
          <w:bCs/>
          <w:caps/>
          <w:lang w:val="fr-BE"/>
        </w:rPr>
        <w:t>,</w:t>
      </w:r>
    </w:p>
    <w:p w14:paraId="1ECFC942" w14:textId="77777777" w:rsidR="001C7ACD" w:rsidRPr="00A17854" w:rsidRDefault="0075625E" w:rsidP="001364D1">
      <w:pPr>
        <w:pStyle w:val="Standard"/>
        <w:ind w:left="1380"/>
        <w:rPr>
          <w:rFonts w:eastAsia="Courier" w:cs="Times New Roman"/>
          <w:bCs/>
          <w:color w:val="010101"/>
          <w:lang w:val="fr-FR"/>
        </w:rPr>
      </w:pPr>
      <w:bookmarkStart w:id="0" w:name="defendeur"/>
      <w:r>
        <w:rPr>
          <w:rFonts w:eastAsia="Courier" w:cs="Times New Roman"/>
          <w:bCs/>
          <w:color w:val="010101"/>
          <w:lang w:val="fr-FR"/>
        </w:rPr>
        <w:t>Représentée par son Collège communal</w:t>
      </w:r>
      <w:r w:rsidR="001C7ACD">
        <w:rPr>
          <w:rFonts w:eastAsia="Courier" w:cs="Times New Roman"/>
          <w:bCs/>
          <w:color w:val="010101"/>
          <w:lang w:val="fr-FR"/>
        </w:rPr>
        <w:t xml:space="preserve"> </w:t>
      </w:r>
      <w:r w:rsidR="001C7ACD" w:rsidRPr="00A17854">
        <w:rPr>
          <w:rFonts w:eastAsia="Courier" w:cs="Times New Roman"/>
          <w:bCs/>
          <w:color w:val="010101"/>
          <w:lang w:val="fr-FR"/>
        </w:rPr>
        <w:t xml:space="preserve">, </w:t>
      </w:r>
    </w:p>
    <w:p w14:paraId="2468A346" w14:textId="77777777" w:rsidR="001C7ACD" w:rsidRPr="0097206C" w:rsidRDefault="001C7ACD" w:rsidP="0097206C">
      <w:pPr>
        <w:pStyle w:val="Standard"/>
        <w:ind w:left="1380"/>
        <w:rPr>
          <w:rFonts w:eastAsia="Courier" w:cs="Times New Roman"/>
          <w:bCs/>
          <w:color w:val="010101"/>
          <w:lang w:val="fr-FR"/>
        </w:rPr>
      </w:pPr>
      <w:r w:rsidRPr="00A17854">
        <w:rPr>
          <w:rFonts w:eastAsia="Courier" w:cs="Times New Roman"/>
          <w:bCs/>
          <w:color w:val="010101"/>
          <w:lang w:val="fr-FR"/>
        </w:rPr>
        <w:t xml:space="preserve">ayant son siège </w:t>
      </w:r>
      <w:r w:rsidR="0075625E">
        <w:rPr>
          <w:rFonts w:eastAsia="Courier" w:cs="Times New Roman"/>
          <w:bCs/>
          <w:color w:val="010101"/>
          <w:lang w:val="fr-FR"/>
        </w:rPr>
        <w:t xml:space="preserve">administratif </w:t>
      </w:r>
      <w:r w:rsidRPr="00A17854">
        <w:rPr>
          <w:rFonts w:eastAsia="Courier" w:cs="Times New Roman"/>
          <w:bCs/>
          <w:color w:val="010101"/>
          <w:lang w:val="fr-FR"/>
        </w:rPr>
        <w:t>à</w:t>
      </w:r>
      <w:r w:rsidR="0075625E">
        <w:rPr>
          <w:rFonts w:eastAsia="Courier" w:cs="Times New Roman"/>
          <w:bCs/>
          <w:color w:val="010101"/>
          <w:lang w:val="fr-FR"/>
        </w:rPr>
        <w:t xml:space="preserve"> 4650 HERVE, Rue du Collège, 26</w:t>
      </w:r>
      <w:r w:rsidRPr="00A17854">
        <w:rPr>
          <w:rFonts w:eastAsia="Courier" w:cs="Times New Roman"/>
          <w:bCs/>
          <w:color w:val="010101"/>
          <w:lang w:val="fr-FR"/>
        </w:rPr>
        <w:t>.</w:t>
      </w:r>
    </w:p>
    <w:p w14:paraId="5D4C740B" w14:textId="77777777" w:rsidR="001C7ACD" w:rsidRPr="00C82638" w:rsidRDefault="001C7ACD" w:rsidP="00C82638">
      <w:pPr>
        <w:pStyle w:val="Standard"/>
        <w:ind w:left="1395"/>
        <w:jc w:val="both"/>
        <w:rPr>
          <w:rFonts w:cs="Times New Roman"/>
          <w:bCs/>
          <w:lang w:val="fr-BE"/>
        </w:rPr>
      </w:pPr>
      <w:r w:rsidRPr="00C82638">
        <w:rPr>
          <w:rFonts w:cs="Times New Roman"/>
          <w:bCs/>
          <w:lang w:val="fr-BE"/>
        </w:rPr>
        <w:t xml:space="preserve">Partie défenderesse </w:t>
      </w:r>
      <w:r>
        <w:rPr>
          <w:rFonts w:cs="Times New Roman"/>
          <w:bCs/>
          <w:lang w:val="fr-BE"/>
        </w:rPr>
        <w:t>comparaissant</w:t>
      </w:r>
      <w:r w:rsidRPr="00C82638">
        <w:rPr>
          <w:rFonts w:cs="Times New Roman"/>
          <w:bCs/>
          <w:lang w:val="fr-BE"/>
        </w:rPr>
        <w:t xml:space="preserve"> par</w:t>
      </w:r>
      <w:r>
        <w:rPr>
          <w:rFonts w:cs="Times New Roman"/>
          <w:bCs/>
          <w:lang w:val="fr-BE"/>
        </w:rPr>
        <w:t xml:space="preserve"> </w:t>
      </w:r>
      <w:r w:rsidR="00DE06D6" w:rsidRPr="00DE06D6">
        <w:rPr>
          <w:rFonts w:cs="Times New Roman"/>
          <w:bCs/>
          <w:lang w:val="fr-BE"/>
        </w:rPr>
        <w:t>Maître WALOCHA Laura loco Maître BIHAIN Gaëtan</w:t>
      </w:r>
      <w:r w:rsidR="00DE06D6">
        <w:rPr>
          <w:rFonts w:cs="Times New Roman"/>
          <w:bCs/>
          <w:lang w:val="fr-BE"/>
        </w:rPr>
        <w:t>, avocat à VERVIERS</w:t>
      </w:r>
      <w:r w:rsidRPr="00C82638">
        <w:rPr>
          <w:rFonts w:cs="Times New Roman"/>
          <w:bCs/>
          <w:lang w:val="fr-BE"/>
        </w:rPr>
        <w:t>.</w:t>
      </w:r>
    </w:p>
    <w:bookmarkEnd w:id="0"/>
    <w:p w14:paraId="590CAC00" w14:textId="77777777" w:rsidR="00E85900" w:rsidRPr="001372F1" w:rsidRDefault="00E85900" w:rsidP="00E85900">
      <w:pPr>
        <w:pStyle w:val="Standard"/>
        <w:ind w:left="709" w:firstLine="709"/>
        <w:jc w:val="both"/>
        <w:rPr>
          <w:rFonts w:cs="Times New Roman"/>
          <w:b/>
          <w:bCs/>
          <w:caps/>
          <w:lang w:val="fr-BE"/>
        </w:rPr>
      </w:pPr>
    </w:p>
    <w:p w14:paraId="562F6C51" w14:textId="77777777" w:rsidR="001372F1" w:rsidRDefault="001372F1" w:rsidP="00E85900">
      <w:pPr>
        <w:pStyle w:val="Standard"/>
        <w:rPr>
          <w:rFonts w:eastAsia="Courier" w:cs="Times New Roman"/>
          <w:b/>
          <w:bCs/>
          <w:color w:val="010101"/>
          <w:lang w:val="fr-FR"/>
        </w:rPr>
      </w:pPr>
      <w:bookmarkStart w:id="1" w:name="niveau"/>
    </w:p>
    <w:p w14:paraId="745B43FA" w14:textId="77777777" w:rsidR="001372F1" w:rsidRDefault="001372F1" w:rsidP="00E85900">
      <w:pPr>
        <w:pStyle w:val="Standard"/>
        <w:ind w:left="2836" w:firstLine="709"/>
        <w:rPr>
          <w:rFonts w:eastAsia="Courier" w:cs="Times New Roman"/>
          <w:bCs/>
          <w:color w:val="010101"/>
          <w:lang w:val="fr-FR"/>
        </w:rPr>
      </w:pPr>
      <w:r>
        <w:rPr>
          <w:rFonts w:eastAsia="Courier" w:cs="Times New Roman"/>
          <w:bCs/>
          <w:color w:val="010101"/>
          <w:lang w:val="fr-FR"/>
        </w:rPr>
        <w:t xml:space="preserve">EN PRESENCE DE : </w:t>
      </w:r>
    </w:p>
    <w:p w14:paraId="6C4BC4E1" w14:textId="77777777" w:rsidR="00E85900" w:rsidRDefault="00E85900" w:rsidP="001372F1">
      <w:pPr>
        <w:pStyle w:val="Standard"/>
        <w:rPr>
          <w:rFonts w:eastAsia="Courier" w:cs="Times New Roman"/>
          <w:bCs/>
          <w:color w:val="010101"/>
          <w:lang w:val="fr-FR"/>
        </w:rPr>
      </w:pPr>
    </w:p>
    <w:p w14:paraId="31CCDDB5" w14:textId="77777777" w:rsidR="00E60675" w:rsidRPr="00FF1F23" w:rsidRDefault="00E60675" w:rsidP="00D305E0">
      <w:pPr>
        <w:pStyle w:val="Standard"/>
        <w:ind w:left="1380" w:firstLine="38"/>
        <w:rPr>
          <w:rFonts w:eastAsia="Courier" w:cs="Times New Roman"/>
          <w:bCs/>
          <w:color w:val="010101"/>
          <w:lang w:val="fr-FR"/>
        </w:rPr>
      </w:pPr>
      <w:r w:rsidRPr="00FF1F23">
        <w:rPr>
          <w:rFonts w:eastAsia="Courier" w:cs="Times New Roman"/>
          <w:b/>
          <w:bCs/>
          <w:color w:val="010101"/>
          <w:lang w:val="fr-FR"/>
        </w:rPr>
        <w:t xml:space="preserve">Agence fédérale des risques professionnels, en abrégé FEDRIS, </w:t>
      </w:r>
      <w:r w:rsidRPr="00FF1F23">
        <w:rPr>
          <w:rFonts w:eastAsia="Courier" w:cs="Times New Roman"/>
          <w:bCs/>
          <w:color w:val="010101"/>
          <w:lang w:val="fr-FR"/>
        </w:rPr>
        <w:t>inscrit à l</w:t>
      </w:r>
      <w:r w:rsidR="00D305E0">
        <w:rPr>
          <w:rFonts w:eastAsia="Courier" w:cs="Times New Roman"/>
          <w:bCs/>
          <w:color w:val="010101"/>
          <w:lang w:val="fr-FR"/>
        </w:rPr>
        <w:t xml:space="preserve">a BCE sous le n° 0206.734.318, </w:t>
      </w:r>
      <w:r w:rsidRPr="00FF1F23">
        <w:rPr>
          <w:rFonts w:eastAsia="Courier" w:cs="Times New Roman"/>
          <w:bCs/>
          <w:color w:val="010101"/>
          <w:lang w:val="fr-FR"/>
        </w:rPr>
        <w:t>ayant son siège social avenue de l'Astronomie, 1 à 1210 SAINT-JOSSE-TEN-NOODE.</w:t>
      </w:r>
    </w:p>
    <w:p w14:paraId="1B6226DF" w14:textId="77777777" w:rsidR="00E60675" w:rsidRPr="00E60675" w:rsidRDefault="00E60675" w:rsidP="00E60675">
      <w:pPr>
        <w:pStyle w:val="Standard"/>
        <w:ind w:left="1380"/>
        <w:rPr>
          <w:rFonts w:eastAsia="Courier" w:cs="Times New Roman"/>
          <w:color w:val="010101"/>
          <w:lang w:val="fr-BE"/>
        </w:rPr>
      </w:pPr>
      <w:bookmarkStart w:id="2" w:name="defavoc"/>
      <w:r w:rsidRPr="0075625E">
        <w:rPr>
          <w:rFonts w:eastAsia="Arial" w:cs="Times New Roman"/>
          <w:color w:val="010101"/>
          <w:lang w:val="fr-BE"/>
        </w:rPr>
        <w:t xml:space="preserve">Partie </w:t>
      </w:r>
      <w:r w:rsidR="001C7ACD" w:rsidRPr="0075625E">
        <w:rPr>
          <w:rFonts w:eastAsia="Arial" w:cs="Times New Roman"/>
          <w:color w:val="010101"/>
          <w:lang w:val="fr-BE"/>
        </w:rPr>
        <w:t>intervenante volontaire</w:t>
      </w:r>
      <w:r w:rsidRPr="0075625E">
        <w:rPr>
          <w:rFonts w:eastAsia="Arial" w:cs="Times New Roman"/>
          <w:color w:val="010101"/>
          <w:lang w:val="fr-BE"/>
        </w:rPr>
        <w:t xml:space="preserve"> représentée par Maître </w:t>
      </w:r>
      <w:r w:rsidRPr="0075625E">
        <w:rPr>
          <w:rFonts w:eastAsia="Courier" w:cs="Times New Roman"/>
          <w:color w:val="010101"/>
          <w:lang w:val="fr-BE"/>
        </w:rPr>
        <w:t>BODEUS Alain, avocat à LIEGE.</w:t>
      </w:r>
      <w:bookmarkEnd w:id="2"/>
    </w:p>
    <w:p w14:paraId="1F7A02BE" w14:textId="77777777" w:rsidR="009C3806" w:rsidRPr="00727D89" w:rsidRDefault="009C3806" w:rsidP="00727D89">
      <w:pPr>
        <w:pStyle w:val="Standard"/>
        <w:ind w:left="1395"/>
        <w:jc w:val="both"/>
        <w:rPr>
          <w:rFonts w:cs="Times New Roman"/>
          <w:bCs/>
          <w:lang w:val="fr-BE"/>
        </w:rPr>
      </w:pPr>
    </w:p>
    <w:p w14:paraId="26C802AD" w14:textId="77777777" w:rsidR="009A6BC1" w:rsidRPr="000C480B" w:rsidRDefault="009A6BC1" w:rsidP="009A6BC1">
      <w:pPr>
        <w:pStyle w:val="Standard"/>
        <w:ind w:left="1418"/>
        <w:jc w:val="both"/>
        <w:rPr>
          <w:rFonts w:cs="Times New Roman"/>
          <w:sz w:val="16"/>
          <w:szCs w:val="16"/>
          <w:lang w:val="fr-BE"/>
        </w:rPr>
      </w:pPr>
    </w:p>
    <w:bookmarkEnd w:id="1"/>
    <w:p w14:paraId="621B5D8B" w14:textId="77777777" w:rsidR="00712B25" w:rsidRPr="000C480B" w:rsidRDefault="00712B25">
      <w:pPr>
        <w:pStyle w:val="Standard"/>
        <w:jc w:val="both"/>
        <w:rPr>
          <w:rFonts w:cs="Times New Roman"/>
          <w:lang w:val="fr-BE"/>
        </w:rPr>
      </w:pPr>
    </w:p>
    <w:p w14:paraId="4EE08E43" w14:textId="77777777" w:rsidR="00834670" w:rsidRPr="000C480B" w:rsidRDefault="00436627" w:rsidP="00712B25">
      <w:pPr>
        <w:pStyle w:val="Textbody"/>
        <w:ind w:firstLine="709"/>
        <w:jc w:val="center"/>
        <w:rPr>
          <w:rFonts w:eastAsia="Times New Roman" w:cs="Times New Roman"/>
          <w:lang w:val="fr-BE"/>
        </w:rPr>
      </w:pPr>
      <w:r w:rsidRPr="000C480B">
        <w:rPr>
          <w:rFonts w:cs="Times New Roman"/>
          <w:b/>
          <w:lang w:val="fr-BE"/>
        </w:rPr>
        <w:t>En</w:t>
      </w:r>
      <w:r w:rsidR="00712B25" w:rsidRPr="000C480B">
        <w:rPr>
          <w:rFonts w:cs="Times New Roman"/>
          <w:b/>
          <w:lang w:val="fr-BE"/>
        </w:rPr>
        <w:t xml:space="preserve"> droit,</w:t>
      </w:r>
    </w:p>
    <w:p w14:paraId="17BE8858" w14:textId="77777777" w:rsidR="00712B25" w:rsidRDefault="00712B25" w:rsidP="00F621E2">
      <w:pPr>
        <w:tabs>
          <w:tab w:val="left" w:pos="-1440"/>
        </w:tabs>
        <w:snapToGrid w:val="0"/>
        <w:jc w:val="both"/>
        <w:rPr>
          <w:rFonts w:cs="Times New Roman"/>
          <w:b/>
        </w:rPr>
      </w:pPr>
    </w:p>
    <w:p w14:paraId="03814FF2" w14:textId="77777777" w:rsidR="006755A6" w:rsidRPr="006755A6" w:rsidRDefault="006755A6" w:rsidP="006755A6">
      <w:pPr>
        <w:tabs>
          <w:tab w:val="left" w:pos="-1440"/>
        </w:tabs>
        <w:snapToGrid w:val="0"/>
        <w:jc w:val="both"/>
        <w:rPr>
          <w:rFonts w:cs="Times New Roman"/>
          <w:lang w:val="fr-FR"/>
        </w:rPr>
      </w:pPr>
      <w:r w:rsidRPr="006755A6">
        <w:rPr>
          <w:rFonts w:cs="Times New Roman"/>
          <w:lang w:val="fr-FR"/>
        </w:rPr>
        <w:t>A l’audience publique tenue en langue française le</w:t>
      </w:r>
      <w:r w:rsidR="00B50E0A">
        <w:rPr>
          <w:rFonts w:cs="Times New Roman"/>
          <w:lang w:val="fr-FR"/>
        </w:rPr>
        <w:t xml:space="preserve"> </w:t>
      </w:r>
      <w:r w:rsidR="009A5A3A">
        <w:rPr>
          <w:rFonts w:cs="Times New Roman"/>
          <w:lang w:val="fr-FR"/>
        </w:rPr>
        <w:t>23 juin 2022</w:t>
      </w:r>
      <w:r w:rsidRPr="006755A6">
        <w:rPr>
          <w:rFonts w:cs="Times New Roman"/>
          <w:lang w:val="fr-FR"/>
        </w:rPr>
        <w:t>, les conseils des parties sont entendus puis le tribunal clôture les débats.</w:t>
      </w:r>
    </w:p>
    <w:p w14:paraId="12E49E54" w14:textId="77777777" w:rsidR="006755A6" w:rsidRPr="006755A6" w:rsidRDefault="006755A6" w:rsidP="006755A6">
      <w:pPr>
        <w:tabs>
          <w:tab w:val="left" w:pos="-1440"/>
        </w:tabs>
        <w:snapToGrid w:val="0"/>
        <w:jc w:val="both"/>
        <w:rPr>
          <w:rFonts w:cs="Times New Roman"/>
          <w:lang w:val="fr-FR"/>
        </w:rPr>
      </w:pPr>
    </w:p>
    <w:p w14:paraId="679AC4D2" w14:textId="77777777" w:rsidR="006755A6" w:rsidRPr="006755A6" w:rsidRDefault="006755A6" w:rsidP="006755A6">
      <w:pPr>
        <w:tabs>
          <w:tab w:val="left" w:pos="-1440"/>
        </w:tabs>
        <w:snapToGrid w:val="0"/>
        <w:jc w:val="both"/>
        <w:rPr>
          <w:rFonts w:cs="Times New Roman"/>
          <w:lang w:val="fr-FR"/>
        </w:rPr>
      </w:pPr>
      <w:r w:rsidRPr="006755A6">
        <w:rPr>
          <w:rFonts w:cs="Times New Roman"/>
          <w:lang w:val="fr-FR"/>
        </w:rPr>
        <w:t>Et ce jour, à l’appel de la cause.</w:t>
      </w:r>
    </w:p>
    <w:p w14:paraId="377D90FE" w14:textId="77777777" w:rsidR="006755A6" w:rsidRPr="006755A6" w:rsidRDefault="006755A6" w:rsidP="006755A6">
      <w:pPr>
        <w:tabs>
          <w:tab w:val="left" w:pos="-1440"/>
        </w:tabs>
        <w:snapToGrid w:val="0"/>
        <w:jc w:val="both"/>
        <w:rPr>
          <w:rFonts w:cs="Times New Roman"/>
          <w:lang w:val="fr-FR"/>
        </w:rPr>
      </w:pPr>
    </w:p>
    <w:p w14:paraId="67303EE8" w14:textId="77777777" w:rsidR="006755A6" w:rsidRPr="006755A6" w:rsidRDefault="006755A6" w:rsidP="006755A6">
      <w:pPr>
        <w:tabs>
          <w:tab w:val="left" w:pos="-1440"/>
        </w:tabs>
        <w:snapToGrid w:val="0"/>
        <w:jc w:val="both"/>
        <w:rPr>
          <w:rFonts w:cs="Times New Roman"/>
          <w:b/>
          <w:bCs/>
          <w:lang w:val="fr-FR"/>
        </w:rPr>
      </w:pPr>
      <w:r w:rsidRPr="006755A6">
        <w:rPr>
          <w:rFonts w:cs="Times New Roman"/>
          <w:b/>
          <w:bCs/>
          <w:u w:val="single"/>
          <w:lang w:val="fr-FR"/>
        </w:rPr>
        <w:t>LE TRIBUNAL PRONONCE LE JUGEMENT SUIVANT</w:t>
      </w:r>
      <w:r w:rsidRPr="006755A6">
        <w:rPr>
          <w:rFonts w:cs="Times New Roman"/>
          <w:b/>
          <w:bCs/>
          <w:lang w:val="fr-FR"/>
        </w:rPr>
        <w:t> :</w:t>
      </w:r>
    </w:p>
    <w:p w14:paraId="40EA33EE" w14:textId="77777777" w:rsidR="006755A6" w:rsidRPr="006755A6" w:rsidRDefault="006755A6" w:rsidP="006755A6">
      <w:pPr>
        <w:tabs>
          <w:tab w:val="left" w:pos="-1440"/>
        </w:tabs>
        <w:snapToGrid w:val="0"/>
        <w:jc w:val="both"/>
        <w:rPr>
          <w:rFonts w:cs="Times New Roman"/>
          <w:lang w:val="fr-FR"/>
        </w:rPr>
      </w:pPr>
    </w:p>
    <w:p w14:paraId="73D70FA5" w14:textId="77777777" w:rsidR="006755A6" w:rsidRPr="006755A6" w:rsidRDefault="006755A6" w:rsidP="006755A6">
      <w:pPr>
        <w:tabs>
          <w:tab w:val="left" w:pos="-1440"/>
        </w:tabs>
        <w:snapToGrid w:val="0"/>
        <w:jc w:val="both"/>
        <w:rPr>
          <w:rFonts w:cs="Times New Roman"/>
          <w:lang w:val="fr-FR"/>
        </w:rPr>
      </w:pPr>
      <w:r w:rsidRPr="006755A6">
        <w:rPr>
          <w:rFonts w:cs="Times New Roman"/>
          <w:lang w:val="fr-FR"/>
        </w:rPr>
        <w:t>Vu les articles 1, 30, 34 à 37 et 41 de la loi du 15 juin 1935 concernant l’emploi des langues en matière judiciaire.</w:t>
      </w:r>
    </w:p>
    <w:p w14:paraId="1C801325" w14:textId="77777777" w:rsidR="006755A6" w:rsidRPr="006755A6" w:rsidRDefault="006755A6" w:rsidP="006755A6">
      <w:pPr>
        <w:tabs>
          <w:tab w:val="left" w:pos="-1440"/>
        </w:tabs>
        <w:snapToGrid w:val="0"/>
        <w:jc w:val="both"/>
        <w:rPr>
          <w:rFonts w:cs="Times New Roman"/>
          <w:b/>
          <w:bCs/>
          <w:u w:val="single"/>
          <w:lang w:val="fr-FR"/>
        </w:rPr>
      </w:pPr>
    </w:p>
    <w:p w14:paraId="786B42FC" w14:textId="77777777" w:rsidR="006755A6" w:rsidRPr="006755A6" w:rsidRDefault="006755A6" w:rsidP="006755A6">
      <w:pPr>
        <w:numPr>
          <w:ilvl w:val="0"/>
          <w:numId w:val="2"/>
        </w:numPr>
        <w:tabs>
          <w:tab w:val="left" w:pos="-1440"/>
        </w:tabs>
        <w:snapToGrid w:val="0"/>
        <w:jc w:val="both"/>
        <w:rPr>
          <w:rFonts w:cs="Times New Roman"/>
          <w:b/>
          <w:bCs/>
          <w:u w:val="single"/>
          <w:lang w:val="fr-FR"/>
        </w:rPr>
      </w:pPr>
      <w:r w:rsidRPr="006755A6">
        <w:rPr>
          <w:rFonts w:cs="Times New Roman"/>
          <w:b/>
          <w:bCs/>
          <w:u w:val="single"/>
          <w:lang w:val="fr-FR"/>
        </w:rPr>
        <w:t>PROCEDURE</w:t>
      </w:r>
    </w:p>
    <w:p w14:paraId="45F5C7DD" w14:textId="77777777" w:rsidR="006755A6" w:rsidRPr="006755A6" w:rsidRDefault="006755A6" w:rsidP="006755A6">
      <w:pPr>
        <w:tabs>
          <w:tab w:val="left" w:pos="-1440"/>
        </w:tabs>
        <w:snapToGrid w:val="0"/>
        <w:jc w:val="both"/>
        <w:rPr>
          <w:rFonts w:cs="Times New Roman"/>
          <w:lang w:val="fr-FR"/>
        </w:rPr>
      </w:pPr>
    </w:p>
    <w:p w14:paraId="01014F1E" w14:textId="77777777" w:rsidR="006755A6" w:rsidRPr="006755A6" w:rsidRDefault="006755A6" w:rsidP="006755A6">
      <w:pPr>
        <w:tabs>
          <w:tab w:val="left" w:pos="-1440"/>
        </w:tabs>
        <w:snapToGrid w:val="0"/>
        <w:jc w:val="both"/>
        <w:rPr>
          <w:rFonts w:cs="Times New Roman"/>
          <w:lang w:val="fr-FR"/>
        </w:rPr>
      </w:pPr>
      <w:r w:rsidRPr="006755A6">
        <w:rPr>
          <w:rFonts w:cs="Times New Roman"/>
          <w:b/>
          <w:lang w:val="fr-FR"/>
        </w:rPr>
        <w:t>VU</w:t>
      </w:r>
      <w:r w:rsidRPr="006755A6">
        <w:rPr>
          <w:rFonts w:cs="Times New Roman"/>
          <w:lang w:val="fr-FR"/>
        </w:rPr>
        <w:t xml:space="preserve"> le dossier de la procédure, dont :</w:t>
      </w:r>
    </w:p>
    <w:p w14:paraId="2A44DF9B" w14:textId="77777777" w:rsidR="006755A6" w:rsidRPr="006755A6" w:rsidRDefault="006755A6" w:rsidP="006755A6">
      <w:pPr>
        <w:tabs>
          <w:tab w:val="left" w:pos="-1440"/>
        </w:tabs>
        <w:snapToGrid w:val="0"/>
        <w:jc w:val="both"/>
        <w:rPr>
          <w:rFonts w:cs="Times New Roman"/>
          <w:lang w:val="fr-FR"/>
        </w:rPr>
      </w:pPr>
    </w:p>
    <w:p w14:paraId="2F430F82" w14:textId="77777777" w:rsidR="006755A6" w:rsidRDefault="006755A6" w:rsidP="006755A6">
      <w:pPr>
        <w:pStyle w:val="Paragraphedeliste"/>
        <w:numPr>
          <w:ilvl w:val="0"/>
          <w:numId w:val="7"/>
        </w:numPr>
        <w:tabs>
          <w:tab w:val="left" w:pos="-1440"/>
        </w:tabs>
        <w:snapToGrid w:val="0"/>
        <w:jc w:val="both"/>
        <w:rPr>
          <w:rFonts w:cs="Times New Roman"/>
          <w:lang w:val="fr-FR"/>
        </w:rPr>
      </w:pPr>
      <w:r w:rsidRPr="006755A6">
        <w:rPr>
          <w:rFonts w:cs="Times New Roman"/>
          <w:lang w:val="fr-FR"/>
        </w:rPr>
        <w:t>Le jugement rendu le</w:t>
      </w:r>
      <w:r w:rsidR="00051069">
        <w:rPr>
          <w:rFonts w:cs="Times New Roman"/>
          <w:lang w:val="fr-FR"/>
        </w:rPr>
        <w:t xml:space="preserve"> </w:t>
      </w:r>
      <w:r w:rsidR="00BD1728">
        <w:rPr>
          <w:rFonts w:cs="Times New Roman"/>
          <w:lang w:val="fr-FR"/>
        </w:rPr>
        <w:t>28 juin 2018</w:t>
      </w:r>
      <w:r w:rsidRPr="006755A6">
        <w:rPr>
          <w:rFonts w:cs="Times New Roman"/>
          <w:lang w:val="fr-FR"/>
        </w:rPr>
        <w:t>, lequel, dit l’action recevable et avant faire droit au fond, désigne en qual</w:t>
      </w:r>
      <w:r w:rsidR="009A5A3A">
        <w:rPr>
          <w:rFonts w:cs="Times New Roman"/>
          <w:lang w:val="fr-FR"/>
        </w:rPr>
        <w:t>ité d’expert médecin le docteur</w:t>
      </w:r>
      <w:r w:rsidR="00980631">
        <w:rPr>
          <w:rFonts w:cs="Times New Roman"/>
          <w:lang w:val="fr-FR"/>
        </w:rPr>
        <w:t xml:space="preserve"> ALE</w:t>
      </w:r>
      <w:r w:rsidR="00BD1728">
        <w:rPr>
          <w:rFonts w:cs="Times New Roman"/>
          <w:lang w:val="fr-FR"/>
        </w:rPr>
        <w:t>XANDRE ;</w:t>
      </w:r>
    </w:p>
    <w:p w14:paraId="3AB6B72B" w14:textId="77777777" w:rsidR="00BD1728" w:rsidRDefault="00BD1728" w:rsidP="00BD1728">
      <w:pPr>
        <w:pStyle w:val="Paragraphedeliste"/>
        <w:tabs>
          <w:tab w:val="left" w:pos="-1440"/>
        </w:tabs>
        <w:snapToGrid w:val="0"/>
        <w:jc w:val="both"/>
        <w:rPr>
          <w:rFonts w:cs="Times New Roman"/>
          <w:lang w:val="fr-FR"/>
        </w:rPr>
      </w:pPr>
    </w:p>
    <w:p w14:paraId="0E9DD304" w14:textId="77777777" w:rsidR="00BD1728" w:rsidRPr="006755A6" w:rsidRDefault="00BD1728" w:rsidP="006755A6">
      <w:pPr>
        <w:pStyle w:val="Paragraphedeliste"/>
        <w:numPr>
          <w:ilvl w:val="0"/>
          <w:numId w:val="7"/>
        </w:numPr>
        <w:tabs>
          <w:tab w:val="left" w:pos="-1440"/>
        </w:tabs>
        <w:snapToGrid w:val="0"/>
        <w:jc w:val="both"/>
        <w:rPr>
          <w:rFonts w:cs="Times New Roman"/>
          <w:lang w:val="fr-FR"/>
        </w:rPr>
      </w:pPr>
      <w:r>
        <w:rPr>
          <w:rFonts w:cs="Times New Roman"/>
          <w:lang w:val="fr-FR"/>
        </w:rPr>
        <w:t>L’ordonnance de remplacement d’expert prononcée le 30 avril 2020 confiant la mission d’expertise au Docteur SPADIN en remplacement du Docteur ALEXANDRE</w:t>
      </w:r>
    </w:p>
    <w:p w14:paraId="57B4E8EA" w14:textId="77777777" w:rsidR="006755A6" w:rsidRPr="006755A6" w:rsidRDefault="006755A6" w:rsidP="006755A6">
      <w:pPr>
        <w:tabs>
          <w:tab w:val="left" w:pos="-1440"/>
        </w:tabs>
        <w:snapToGrid w:val="0"/>
        <w:jc w:val="both"/>
        <w:rPr>
          <w:rFonts w:cs="Times New Roman"/>
          <w:lang w:val="fr-FR"/>
        </w:rPr>
      </w:pPr>
    </w:p>
    <w:p w14:paraId="52583625" w14:textId="77777777" w:rsidR="006755A6" w:rsidRPr="006755A6" w:rsidRDefault="006755A6" w:rsidP="006755A6">
      <w:pPr>
        <w:pStyle w:val="Paragraphedeliste"/>
        <w:numPr>
          <w:ilvl w:val="0"/>
          <w:numId w:val="7"/>
        </w:numPr>
        <w:tabs>
          <w:tab w:val="left" w:pos="-1440"/>
        </w:tabs>
        <w:snapToGrid w:val="0"/>
        <w:jc w:val="both"/>
        <w:rPr>
          <w:rFonts w:cs="Times New Roman"/>
          <w:i/>
          <w:lang w:val="fr-FR"/>
        </w:rPr>
      </w:pPr>
      <w:r w:rsidRPr="006755A6">
        <w:rPr>
          <w:rFonts w:cs="Times New Roman"/>
          <w:lang w:val="fr-FR"/>
        </w:rPr>
        <w:t>Le rapport de l’expert, déposé au greffe le</w:t>
      </w:r>
      <w:r w:rsidR="00E60675">
        <w:rPr>
          <w:rFonts w:cs="Times New Roman"/>
          <w:lang w:val="fr-FR"/>
        </w:rPr>
        <w:t xml:space="preserve"> </w:t>
      </w:r>
      <w:r w:rsidR="00BD1728">
        <w:rPr>
          <w:rFonts w:cs="Times New Roman"/>
          <w:lang w:val="fr-FR"/>
        </w:rPr>
        <w:t>30 juin 2021</w:t>
      </w:r>
      <w:r w:rsidRPr="006755A6">
        <w:rPr>
          <w:rFonts w:cs="Times New Roman"/>
          <w:lang w:val="fr-FR"/>
        </w:rPr>
        <w:t>.</w:t>
      </w:r>
    </w:p>
    <w:p w14:paraId="1D21FAD1" w14:textId="77777777" w:rsidR="006755A6" w:rsidRPr="006755A6" w:rsidRDefault="006755A6" w:rsidP="006755A6">
      <w:pPr>
        <w:tabs>
          <w:tab w:val="left" w:pos="-1440"/>
        </w:tabs>
        <w:snapToGrid w:val="0"/>
        <w:jc w:val="both"/>
        <w:rPr>
          <w:rFonts w:cs="Times New Roman"/>
          <w:lang w:val="fr-FR"/>
        </w:rPr>
      </w:pPr>
    </w:p>
    <w:p w14:paraId="3B9FE171" w14:textId="77777777" w:rsidR="00E60675" w:rsidRDefault="006755A6" w:rsidP="006755A6">
      <w:pPr>
        <w:pStyle w:val="Paragraphedeliste"/>
        <w:numPr>
          <w:ilvl w:val="0"/>
          <w:numId w:val="7"/>
        </w:numPr>
        <w:tabs>
          <w:tab w:val="left" w:pos="-1440"/>
        </w:tabs>
        <w:snapToGrid w:val="0"/>
        <w:jc w:val="both"/>
        <w:rPr>
          <w:rFonts w:cs="Times New Roman"/>
          <w:lang w:val="fr-FR"/>
        </w:rPr>
      </w:pPr>
      <w:r w:rsidRPr="006755A6">
        <w:rPr>
          <w:rFonts w:cs="Times New Roman"/>
          <w:lang w:val="fr-FR"/>
        </w:rPr>
        <w:t xml:space="preserve">Les conclusions après expertise de la partie </w:t>
      </w:r>
      <w:r w:rsidR="00BD1728">
        <w:rPr>
          <w:rFonts w:cs="Times New Roman"/>
          <w:lang w:val="fr-FR"/>
        </w:rPr>
        <w:t>intervenante volontaire</w:t>
      </w:r>
      <w:r w:rsidRPr="006755A6">
        <w:rPr>
          <w:rFonts w:cs="Times New Roman"/>
          <w:lang w:val="fr-FR"/>
        </w:rPr>
        <w:t xml:space="preserve"> déposées au greffe le</w:t>
      </w:r>
      <w:r w:rsidR="00BD1728">
        <w:rPr>
          <w:rFonts w:cs="Times New Roman"/>
          <w:lang w:val="fr-FR"/>
        </w:rPr>
        <w:t xml:space="preserve"> 11 mars 2022</w:t>
      </w:r>
      <w:r w:rsidR="00E60675">
        <w:rPr>
          <w:rFonts w:cs="Times New Roman"/>
          <w:lang w:val="fr-FR"/>
        </w:rPr>
        <w:t>.</w:t>
      </w:r>
    </w:p>
    <w:p w14:paraId="7F988AC2" w14:textId="77777777" w:rsidR="00E60675" w:rsidRPr="00E60675" w:rsidRDefault="00E60675" w:rsidP="00E60675">
      <w:pPr>
        <w:pStyle w:val="Paragraphedeliste"/>
        <w:rPr>
          <w:rFonts w:cs="Times New Roman"/>
          <w:lang w:val="fr-FR"/>
        </w:rPr>
      </w:pPr>
    </w:p>
    <w:p w14:paraId="1A102519" w14:textId="77777777" w:rsidR="00E60675" w:rsidRDefault="00E60675" w:rsidP="00E60675">
      <w:pPr>
        <w:pStyle w:val="Paragraphedeliste"/>
        <w:numPr>
          <w:ilvl w:val="0"/>
          <w:numId w:val="7"/>
        </w:numPr>
        <w:tabs>
          <w:tab w:val="left" w:pos="-1440"/>
        </w:tabs>
        <w:snapToGrid w:val="0"/>
        <w:jc w:val="both"/>
        <w:rPr>
          <w:rFonts w:cs="Times New Roman"/>
          <w:lang w:val="fr-FR"/>
        </w:rPr>
      </w:pPr>
      <w:r w:rsidRPr="006755A6">
        <w:rPr>
          <w:rFonts w:cs="Times New Roman"/>
          <w:lang w:val="fr-FR"/>
        </w:rPr>
        <w:t xml:space="preserve">Les conclusions après expertise de la partie </w:t>
      </w:r>
      <w:r w:rsidR="00BD1728">
        <w:rPr>
          <w:rFonts w:cs="Times New Roman"/>
          <w:lang w:val="fr-FR"/>
        </w:rPr>
        <w:t>défenderesse</w:t>
      </w:r>
      <w:r w:rsidRPr="006755A6">
        <w:rPr>
          <w:rFonts w:cs="Times New Roman"/>
          <w:lang w:val="fr-FR"/>
        </w:rPr>
        <w:t xml:space="preserve"> déposées </w:t>
      </w:r>
      <w:r w:rsidR="00BD1728">
        <w:rPr>
          <w:rFonts w:cs="Times New Roman"/>
          <w:lang w:val="fr-FR"/>
        </w:rPr>
        <w:t>au greffe</w:t>
      </w:r>
      <w:r w:rsidR="009A5A3A">
        <w:rPr>
          <w:rFonts w:cs="Times New Roman"/>
          <w:lang w:val="fr-FR"/>
        </w:rPr>
        <w:t xml:space="preserve"> le</w:t>
      </w:r>
      <w:r w:rsidR="00BD1728">
        <w:rPr>
          <w:rFonts w:cs="Times New Roman"/>
          <w:lang w:val="fr-FR"/>
        </w:rPr>
        <w:t xml:space="preserve"> 22 mars 2022</w:t>
      </w:r>
      <w:r w:rsidR="009A5A3A">
        <w:rPr>
          <w:rFonts w:cs="Times New Roman"/>
          <w:lang w:val="fr-FR"/>
        </w:rPr>
        <w:t xml:space="preserve"> </w:t>
      </w:r>
      <w:r>
        <w:rPr>
          <w:rFonts w:cs="Times New Roman"/>
          <w:lang w:val="fr-FR"/>
        </w:rPr>
        <w:t>.</w:t>
      </w:r>
    </w:p>
    <w:p w14:paraId="786BE3DB" w14:textId="77777777" w:rsidR="00BD1728" w:rsidRDefault="00BD1728" w:rsidP="00BD1728">
      <w:pPr>
        <w:pStyle w:val="Paragraphedeliste"/>
        <w:tabs>
          <w:tab w:val="left" w:pos="-1440"/>
        </w:tabs>
        <w:snapToGrid w:val="0"/>
        <w:jc w:val="both"/>
        <w:rPr>
          <w:rFonts w:cs="Times New Roman"/>
          <w:lang w:val="fr-FR"/>
        </w:rPr>
      </w:pPr>
    </w:p>
    <w:p w14:paraId="5E11361A" w14:textId="77777777" w:rsidR="00BD1728" w:rsidRDefault="00BD1728" w:rsidP="00E60675">
      <w:pPr>
        <w:pStyle w:val="Paragraphedeliste"/>
        <w:numPr>
          <w:ilvl w:val="0"/>
          <w:numId w:val="7"/>
        </w:numPr>
        <w:tabs>
          <w:tab w:val="left" w:pos="-1440"/>
        </w:tabs>
        <w:snapToGrid w:val="0"/>
        <w:jc w:val="both"/>
        <w:rPr>
          <w:rFonts w:cs="Times New Roman"/>
          <w:lang w:val="fr-FR"/>
        </w:rPr>
      </w:pPr>
      <w:r w:rsidRPr="006755A6">
        <w:rPr>
          <w:rFonts w:cs="Times New Roman"/>
          <w:lang w:val="fr-FR"/>
        </w:rPr>
        <w:t xml:space="preserve">Les conclusions après expertise de la partie </w:t>
      </w:r>
      <w:r>
        <w:rPr>
          <w:rFonts w:cs="Times New Roman"/>
          <w:lang w:val="fr-FR"/>
        </w:rPr>
        <w:t>demanderesse</w:t>
      </w:r>
      <w:r w:rsidRPr="006755A6">
        <w:rPr>
          <w:rFonts w:cs="Times New Roman"/>
          <w:lang w:val="fr-FR"/>
        </w:rPr>
        <w:t xml:space="preserve"> déposées </w:t>
      </w:r>
      <w:r>
        <w:rPr>
          <w:rFonts w:cs="Times New Roman"/>
          <w:lang w:val="fr-FR"/>
        </w:rPr>
        <w:t>au greffe le 13 avril 2022 ;</w:t>
      </w:r>
    </w:p>
    <w:p w14:paraId="555572DD" w14:textId="77777777" w:rsidR="00BD1728" w:rsidRDefault="00BD1728" w:rsidP="00BD1728">
      <w:pPr>
        <w:pStyle w:val="Paragraphedeliste"/>
        <w:tabs>
          <w:tab w:val="left" w:pos="-1440"/>
        </w:tabs>
        <w:snapToGrid w:val="0"/>
        <w:jc w:val="both"/>
        <w:rPr>
          <w:rFonts w:cs="Times New Roman"/>
          <w:lang w:val="fr-FR"/>
        </w:rPr>
      </w:pPr>
    </w:p>
    <w:p w14:paraId="4A2465F2" w14:textId="77777777" w:rsidR="00BD1728" w:rsidRDefault="00BD1728" w:rsidP="00E60675">
      <w:pPr>
        <w:pStyle w:val="Paragraphedeliste"/>
        <w:numPr>
          <w:ilvl w:val="0"/>
          <w:numId w:val="7"/>
        </w:numPr>
        <w:tabs>
          <w:tab w:val="left" w:pos="-1440"/>
        </w:tabs>
        <w:snapToGrid w:val="0"/>
        <w:jc w:val="both"/>
        <w:rPr>
          <w:rFonts w:cs="Times New Roman"/>
          <w:lang w:val="fr-FR"/>
        </w:rPr>
      </w:pPr>
      <w:r>
        <w:rPr>
          <w:rFonts w:cs="Times New Roman"/>
          <w:lang w:val="fr-FR"/>
        </w:rPr>
        <w:t>Le dossier de pièces de la partie demanderesse déposé au greffe le 4 mai 2022 ;</w:t>
      </w:r>
    </w:p>
    <w:p w14:paraId="7167D0B3" w14:textId="77777777" w:rsidR="00E60675" w:rsidRPr="00E60675" w:rsidRDefault="00E60675" w:rsidP="00E60675">
      <w:pPr>
        <w:tabs>
          <w:tab w:val="left" w:pos="-1440"/>
        </w:tabs>
        <w:snapToGrid w:val="0"/>
        <w:jc w:val="both"/>
        <w:rPr>
          <w:rFonts w:cs="Times New Roman"/>
          <w:lang w:val="fr-FR"/>
        </w:rPr>
      </w:pPr>
    </w:p>
    <w:p w14:paraId="36BE506C" w14:textId="77777777" w:rsidR="006755A6" w:rsidRPr="006755A6" w:rsidRDefault="00E60675" w:rsidP="006755A6">
      <w:pPr>
        <w:pStyle w:val="Paragraphedeliste"/>
        <w:numPr>
          <w:ilvl w:val="0"/>
          <w:numId w:val="7"/>
        </w:numPr>
        <w:tabs>
          <w:tab w:val="left" w:pos="-1440"/>
        </w:tabs>
        <w:snapToGrid w:val="0"/>
        <w:jc w:val="both"/>
        <w:rPr>
          <w:rFonts w:cs="Times New Roman"/>
          <w:lang w:val="fr-FR"/>
        </w:rPr>
      </w:pPr>
      <w:r>
        <w:rPr>
          <w:rFonts w:cs="Times New Roman"/>
          <w:lang w:val="fr-FR"/>
        </w:rPr>
        <w:t>Le procès-verbal d’audience publique.</w:t>
      </w:r>
      <w:r w:rsidR="006755A6">
        <w:rPr>
          <w:rFonts w:cs="Times New Roman"/>
          <w:lang w:val="fr-FR"/>
        </w:rPr>
        <w:t xml:space="preserve">          </w:t>
      </w:r>
    </w:p>
    <w:p w14:paraId="3E202091" w14:textId="77777777" w:rsidR="006755A6" w:rsidRPr="006755A6" w:rsidRDefault="006755A6" w:rsidP="006755A6">
      <w:pPr>
        <w:tabs>
          <w:tab w:val="left" w:pos="-1440"/>
        </w:tabs>
        <w:snapToGrid w:val="0"/>
        <w:jc w:val="both"/>
        <w:rPr>
          <w:rFonts w:cs="Times New Roman"/>
          <w:lang w:val="fr-FR"/>
        </w:rPr>
      </w:pPr>
    </w:p>
    <w:p w14:paraId="718E32A4" w14:textId="77777777" w:rsidR="006755A6" w:rsidRPr="006755A6" w:rsidRDefault="006755A6" w:rsidP="006755A6">
      <w:pPr>
        <w:tabs>
          <w:tab w:val="left" w:pos="-1440"/>
        </w:tabs>
        <w:snapToGrid w:val="0"/>
        <w:jc w:val="both"/>
        <w:rPr>
          <w:rFonts w:cs="Times New Roman"/>
          <w:lang w:val="fr-FR"/>
        </w:rPr>
      </w:pPr>
    </w:p>
    <w:p w14:paraId="7739A0DB" w14:textId="77777777" w:rsidR="006755A6" w:rsidRPr="006755A6" w:rsidRDefault="006755A6" w:rsidP="006755A6">
      <w:pPr>
        <w:numPr>
          <w:ilvl w:val="0"/>
          <w:numId w:val="2"/>
        </w:numPr>
        <w:tabs>
          <w:tab w:val="left" w:pos="-1440"/>
        </w:tabs>
        <w:snapToGrid w:val="0"/>
        <w:jc w:val="both"/>
        <w:rPr>
          <w:rFonts w:cs="Times New Roman"/>
          <w:b/>
          <w:lang w:val="fr-FR"/>
        </w:rPr>
      </w:pPr>
      <w:r w:rsidRPr="006755A6">
        <w:rPr>
          <w:rFonts w:cs="Times New Roman"/>
          <w:b/>
          <w:u w:val="single"/>
          <w:lang w:val="fr-FR"/>
        </w:rPr>
        <w:t>POSITION DES PARTIES.</w:t>
      </w:r>
    </w:p>
    <w:p w14:paraId="78DCE552" w14:textId="77777777" w:rsidR="006755A6" w:rsidRPr="009A5A3A" w:rsidRDefault="006755A6" w:rsidP="006755A6">
      <w:pPr>
        <w:tabs>
          <w:tab w:val="left" w:pos="-1440"/>
        </w:tabs>
        <w:snapToGrid w:val="0"/>
        <w:jc w:val="both"/>
        <w:rPr>
          <w:rFonts w:cs="Times New Roman"/>
          <w:u w:val="single"/>
        </w:rPr>
      </w:pPr>
    </w:p>
    <w:p w14:paraId="4D566D0E" w14:textId="77777777" w:rsidR="006755A6" w:rsidRDefault="009A5A3A" w:rsidP="006755A6">
      <w:pPr>
        <w:tabs>
          <w:tab w:val="left" w:pos="-1440"/>
        </w:tabs>
        <w:snapToGrid w:val="0"/>
        <w:jc w:val="both"/>
        <w:rPr>
          <w:rFonts w:cs="Times New Roman"/>
          <w:bCs/>
          <w:lang w:val="fr-FR"/>
        </w:rPr>
      </w:pPr>
      <w:r w:rsidRPr="009A5A3A">
        <w:rPr>
          <w:rFonts w:cs="Times New Roman"/>
          <w:u w:val="single"/>
          <w:lang w:val="fr-FR"/>
        </w:rPr>
        <w:t>L</w:t>
      </w:r>
      <w:r w:rsidR="006755A6" w:rsidRPr="004E74D3">
        <w:rPr>
          <w:rFonts w:cs="Times New Roman"/>
          <w:u w:val="single"/>
          <w:lang w:val="fr-FR"/>
        </w:rPr>
        <w:t>a partie demanderesse</w:t>
      </w:r>
      <w:r w:rsidR="006755A6" w:rsidRPr="004E74D3">
        <w:rPr>
          <w:rFonts w:cs="Times New Roman"/>
          <w:lang w:val="fr-FR"/>
        </w:rPr>
        <w:t xml:space="preserve"> postule</w:t>
      </w:r>
      <w:r w:rsidR="006755A6" w:rsidRPr="004E74D3">
        <w:rPr>
          <w:rFonts w:cs="Times New Roman"/>
          <w:bCs/>
          <w:lang w:val="fr-FR"/>
        </w:rPr>
        <w:t xml:space="preserve"> l’entérinement du rapport d’expertise.  </w:t>
      </w:r>
      <w:r w:rsidR="00E103D0">
        <w:rPr>
          <w:rFonts w:cs="Times New Roman"/>
          <w:bCs/>
          <w:lang w:val="fr-FR"/>
        </w:rPr>
        <w:t>Elle</w:t>
      </w:r>
      <w:r w:rsidR="006755A6" w:rsidRPr="004E74D3">
        <w:rPr>
          <w:rFonts w:cs="Times New Roman"/>
          <w:bCs/>
          <w:lang w:val="fr-FR"/>
        </w:rPr>
        <w:t xml:space="preserve"> sollicite que les facteurs économiques et sociaux soient fixés à </w:t>
      </w:r>
      <w:r w:rsidR="004E74D3">
        <w:rPr>
          <w:rFonts w:cs="Times New Roman"/>
          <w:bCs/>
          <w:lang w:val="fr-FR"/>
        </w:rPr>
        <w:t>10 %</w:t>
      </w:r>
      <w:r w:rsidR="006755A6" w:rsidRPr="004E74D3">
        <w:rPr>
          <w:rFonts w:cs="Times New Roman"/>
          <w:bCs/>
          <w:lang w:val="fr-FR"/>
        </w:rPr>
        <w:t>.</w:t>
      </w:r>
    </w:p>
    <w:p w14:paraId="07A28C14" w14:textId="77777777" w:rsidR="00BF4089" w:rsidRDefault="00BF4089" w:rsidP="006755A6">
      <w:pPr>
        <w:tabs>
          <w:tab w:val="left" w:pos="-1440"/>
        </w:tabs>
        <w:snapToGrid w:val="0"/>
        <w:jc w:val="both"/>
        <w:rPr>
          <w:rFonts w:cs="Times New Roman"/>
          <w:bCs/>
          <w:lang w:val="fr-FR"/>
        </w:rPr>
      </w:pPr>
    </w:p>
    <w:p w14:paraId="01E49484" w14:textId="77777777" w:rsidR="00BF4089" w:rsidRPr="004E74D3" w:rsidRDefault="00E103D0" w:rsidP="006755A6">
      <w:pPr>
        <w:tabs>
          <w:tab w:val="left" w:pos="-1440"/>
        </w:tabs>
        <w:snapToGrid w:val="0"/>
        <w:jc w:val="both"/>
        <w:rPr>
          <w:rFonts w:cs="Times New Roman"/>
          <w:bCs/>
          <w:lang w:val="fr-FR"/>
        </w:rPr>
      </w:pPr>
      <w:r>
        <w:rPr>
          <w:rFonts w:cs="Times New Roman"/>
          <w:bCs/>
          <w:lang w:val="fr-FR"/>
        </w:rPr>
        <w:t>Elle demande</w:t>
      </w:r>
      <w:r w:rsidR="00BF4089">
        <w:rPr>
          <w:rFonts w:cs="Times New Roman"/>
          <w:b/>
          <w:bCs/>
          <w:lang w:val="fr-FR"/>
        </w:rPr>
        <w:t>, à titre principal,</w:t>
      </w:r>
      <w:r w:rsidR="00BF4089">
        <w:rPr>
          <w:rFonts w:cs="Times New Roman"/>
          <w:bCs/>
          <w:lang w:val="fr-FR"/>
        </w:rPr>
        <w:t xml:space="preserve"> l’entérinement du rapport d’expertise sauf en ce qui concerne la date de prise de cours de l’indemnisation laquelle débute sur base des documents fourni</w:t>
      </w:r>
      <w:r>
        <w:rPr>
          <w:rFonts w:cs="Times New Roman"/>
          <w:bCs/>
          <w:lang w:val="fr-FR"/>
        </w:rPr>
        <w:t>s</w:t>
      </w:r>
      <w:r w:rsidR="00BF4089">
        <w:rPr>
          <w:rFonts w:cs="Times New Roman"/>
          <w:bCs/>
          <w:lang w:val="fr-FR"/>
        </w:rPr>
        <w:t xml:space="preserve"> à partir du 18 juillet 2014.</w:t>
      </w:r>
    </w:p>
    <w:p w14:paraId="392236BD" w14:textId="77777777" w:rsidR="006755A6" w:rsidRDefault="006755A6" w:rsidP="006755A6">
      <w:pPr>
        <w:tabs>
          <w:tab w:val="left" w:pos="-1440"/>
        </w:tabs>
        <w:snapToGrid w:val="0"/>
        <w:jc w:val="both"/>
        <w:rPr>
          <w:rFonts w:cs="Times New Roman"/>
          <w:bCs/>
          <w:lang w:val="fr-FR"/>
        </w:rPr>
      </w:pPr>
    </w:p>
    <w:p w14:paraId="709ABFA2" w14:textId="77777777" w:rsidR="00BF4089" w:rsidRDefault="00BF4089" w:rsidP="006755A6">
      <w:pPr>
        <w:tabs>
          <w:tab w:val="left" w:pos="-1440"/>
        </w:tabs>
        <w:snapToGrid w:val="0"/>
        <w:jc w:val="both"/>
        <w:rPr>
          <w:rFonts w:cs="Times New Roman"/>
          <w:bCs/>
          <w:lang w:val="fr-FR"/>
        </w:rPr>
      </w:pPr>
      <w:r>
        <w:rPr>
          <w:rFonts w:cs="Times New Roman"/>
          <w:b/>
          <w:bCs/>
          <w:lang w:val="fr-FR"/>
        </w:rPr>
        <w:t>A titre subsidiaire</w:t>
      </w:r>
      <w:r>
        <w:rPr>
          <w:rFonts w:cs="Times New Roman"/>
          <w:bCs/>
          <w:lang w:val="fr-FR"/>
        </w:rPr>
        <w:t>, elle postule qu’un complément d’expertise soit confié à l’expert judiciaire afin qu’il justifie la date retenue.</w:t>
      </w:r>
    </w:p>
    <w:p w14:paraId="7BB6ABEC" w14:textId="77777777" w:rsidR="00BF4089" w:rsidRDefault="00BF4089" w:rsidP="006755A6">
      <w:pPr>
        <w:tabs>
          <w:tab w:val="left" w:pos="-1440"/>
        </w:tabs>
        <w:snapToGrid w:val="0"/>
        <w:jc w:val="both"/>
        <w:rPr>
          <w:rFonts w:cs="Times New Roman"/>
          <w:bCs/>
          <w:lang w:val="fr-FR"/>
        </w:rPr>
      </w:pPr>
    </w:p>
    <w:p w14:paraId="29EE8987" w14:textId="77777777" w:rsidR="00BF4089" w:rsidRDefault="00BF4089" w:rsidP="006755A6">
      <w:pPr>
        <w:tabs>
          <w:tab w:val="left" w:pos="-1440"/>
        </w:tabs>
        <w:snapToGrid w:val="0"/>
        <w:jc w:val="both"/>
        <w:rPr>
          <w:rFonts w:cs="Times New Roman"/>
          <w:bCs/>
          <w:lang w:val="fr-FR"/>
        </w:rPr>
      </w:pPr>
      <w:r>
        <w:rPr>
          <w:rFonts w:cs="Times New Roman"/>
          <w:bCs/>
          <w:lang w:val="fr-FR"/>
        </w:rPr>
        <w:t xml:space="preserve">Par ailleurs, elle </w:t>
      </w:r>
      <w:r w:rsidR="00E103D0">
        <w:rPr>
          <w:rFonts w:cs="Times New Roman"/>
          <w:bCs/>
          <w:lang w:val="fr-FR"/>
        </w:rPr>
        <w:t>estime que</w:t>
      </w:r>
      <w:r>
        <w:rPr>
          <w:rFonts w:cs="Times New Roman"/>
          <w:bCs/>
          <w:lang w:val="fr-FR"/>
        </w:rPr>
        <w:t xml:space="preserve"> l’exposition au risque professionnel </w:t>
      </w:r>
      <w:r w:rsidR="00E103D0">
        <w:rPr>
          <w:rFonts w:cs="Times New Roman"/>
          <w:bCs/>
          <w:lang w:val="fr-FR"/>
        </w:rPr>
        <w:t xml:space="preserve">est établie </w:t>
      </w:r>
      <w:r>
        <w:rPr>
          <w:rFonts w:cs="Times New Roman"/>
          <w:bCs/>
          <w:lang w:val="fr-FR"/>
        </w:rPr>
        <w:t>dans son chef.</w:t>
      </w:r>
    </w:p>
    <w:p w14:paraId="3F1EBF35" w14:textId="77777777" w:rsidR="00BF4089" w:rsidRDefault="00BF4089" w:rsidP="006755A6">
      <w:pPr>
        <w:tabs>
          <w:tab w:val="left" w:pos="-1440"/>
        </w:tabs>
        <w:snapToGrid w:val="0"/>
        <w:jc w:val="both"/>
        <w:rPr>
          <w:rFonts w:cs="Times New Roman"/>
          <w:bCs/>
          <w:lang w:val="fr-FR"/>
        </w:rPr>
      </w:pPr>
    </w:p>
    <w:p w14:paraId="199A32D1" w14:textId="77777777" w:rsidR="00BF4089" w:rsidRPr="00BF4089" w:rsidRDefault="00BF4089" w:rsidP="006755A6">
      <w:pPr>
        <w:tabs>
          <w:tab w:val="left" w:pos="-1440"/>
        </w:tabs>
        <w:snapToGrid w:val="0"/>
        <w:jc w:val="both"/>
        <w:rPr>
          <w:rFonts w:cs="Times New Roman"/>
          <w:bCs/>
          <w:lang w:val="fr-FR"/>
        </w:rPr>
      </w:pPr>
      <w:r>
        <w:rPr>
          <w:rFonts w:cs="Times New Roman"/>
          <w:bCs/>
          <w:lang w:val="fr-FR"/>
        </w:rPr>
        <w:t>De même, elle considère que le rapport est suffisamment motivé quant à l’existence d’un lien direct et déterminant.</w:t>
      </w:r>
    </w:p>
    <w:p w14:paraId="4B9C383E" w14:textId="77777777" w:rsidR="00BF4089" w:rsidRPr="004E74D3" w:rsidRDefault="00BF4089" w:rsidP="006755A6">
      <w:pPr>
        <w:tabs>
          <w:tab w:val="left" w:pos="-1440"/>
        </w:tabs>
        <w:snapToGrid w:val="0"/>
        <w:jc w:val="both"/>
        <w:rPr>
          <w:rFonts w:cs="Times New Roman"/>
          <w:bCs/>
          <w:lang w:val="fr-FR"/>
        </w:rPr>
      </w:pPr>
    </w:p>
    <w:p w14:paraId="432684D4" w14:textId="77777777" w:rsidR="006755A6" w:rsidRPr="004E74D3" w:rsidRDefault="00E103D0" w:rsidP="006755A6">
      <w:pPr>
        <w:tabs>
          <w:tab w:val="left" w:pos="-1440"/>
        </w:tabs>
        <w:snapToGrid w:val="0"/>
        <w:jc w:val="both"/>
        <w:rPr>
          <w:rFonts w:cs="Times New Roman"/>
          <w:bCs/>
          <w:lang w:val="fr-FR"/>
        </w:rPr>
      </w:pPr>
      <w:r>
        <w:rPr>
          <w:rFonts w:cs="Times New Roman"/>
          <w:bCs/>
          <w:lang w:val="fr-FR"/>
        </w:rPr>
        <w:t>Elle</w:t>
      </w:r>
      <w:r w:rsidR="004E74D3">
        <w:rPr>
          <w:rFonts w:cs="Times New Roman"/>
          <w:bCs/>
          <w:lang w:val="fr-FR"/>
        </w:rPr>
        <w:t xml:space="preserve"> demande, dès lors,</w:t>
      </w:r>
      <w:r w:rsidR="006755A6" w:rsidRPr="004E74D3">
        <w:rPr>
          <w:rFonts w:cs="Times New Roman"/>
          <w:bCs/>
          <w:lang w:val="fr-FR"/>
        </w:rPr>
        <w:t xml:space="preserve"> la condamnation de la partie défenderesse au paiement des </w:t>
      </w:r>
      <w:r w:rsidR="004E74D3">
        <w:rPr>
          <w:rFonts w:cs="Times New Roman"/>
          <w:bCs/>
          <w:lang w:val="fr-FR"/>
        </w:rPr>
        <w:t xml:space="preserve">indemnités légales augmentées des intérêts légaux, outre la condamnation </w:t>
      </w:r>
      <w:r w:rsidR="006755A6" w:rsidRPr="004E74D3">
        <w:rPr>
          <w:rFonts w:cs="Times New Roman"/>
          <w:bCs/>
          <w:lang w:val="fr-FR"/>
        </w:rPr>
        <w:t xml:space="preserve">aux dépens </w:t>
      </w:r>
      <w:r w:rsidR="00BF4089">
        <w:rPr>
          <w:rFonts w:cs="Times New Roman"/>
          <w:bCs/>
          <w:lang w:val="fr-FR"/>
        </w:rPr>
        <w:lastRenderedPageBreak/>
        <w:t>liquidés à la somme de 306,10</w:t>
      </w:r>
      <w:r w:rsidR="004E74D3">
        <w:rPr>
          <w:rFonts w:cs="Times New Roman"/>
          <w:bCs/>
          <w:lang w:val="fr-FR"/>
        </w:rPr>
        <w:t xml:space="preserve"> €</w:t>
      </w:r>
      <w:r w:rsidR="006755A6" w:rsidRPr="004E74D3">
        <w:rPr>
          <w:rFonts w:cs="Times New Roman"/>
          <w:bCs/>
          <w:lang w:val="fr-FR"/>
        </w:rPr>
        <w:t>.</w:t>
      </w:r>
    </w:p>
    <w:p w14:paraId="37C29ED8" w14:textId="77777777" w:rsidR="006755A6" w:rsidRPr="004E74D3" w:rsidRDefault="006755A6" w:rsidP="006755A6">
      <w:pPr>
        <w:tabs>
          <w:tab w:val="left" w:pos="-1440"/>
        </w:tabs>
        <w:snapToGrid w:val="0"/>
        <w:jc w:val="both"/>
        <w:rPr>
          <w:rFonts w:cs="Times New Roman"/>
          <w:bCs/>
          <w:lang w:val="fr-FR"/>
        </w:rPr>
      </w:pPr>
    </w:p>
    <w:p w14:paraId="4054988A" w14:textId="77777777" w:rsidR="008E2B20" w:rsidRDefault="008E2B20" w:rsidP="006755A6">
      <w:pPr>
        <w:tabs>
          <w:tab w:val="left" w:pos="-1440"/>
        </w:tabs>
        <w:snapToGrid w:val="0"/>
        <w:jc w:val="both"/>
        <w:rPr>
          <w:rFonts w:cs="Times New Roman"/>
          <w:bCs/>
          <w:u w:val="single"/>
          <w:lang w:val="fr-FR"/>
        </w:rPr>
      </w:pPr>
    </w:p>
    <w:p w14:paraId="086CB855" w14:textId="77777777" w:rsidR="004E74D3" w:rsidRDefault="00D053F8" w:rsidP="006755A6">
      <w:pPr>
        <w:tabs>
          <w:tab w:val="left" w:pos="-1440"/>
        </w:tabs>
        <w:snapToGrid w:val="0"/>
        <w:jc w:val="both"/>
        <w:rPr>
          <w:rFonts w:cs="Times New Roman"/>
          <w:bCs/>
          <w:lang w:val="fr-FR"/>
        </w:rPr>
      </w:pPr>
      <w:r>
        <w:rPr>
          <w:rFonts w:cs="Times New Roman"/>
          <w:bCs/>
          <w:u w:val="single"/>
          <w:lang w:val="fr-FR"/>
        </w:rPr>
        <w:t>L</w:t>
      </w:r>
      <w:r w:rsidR="006755A6" w:rsidRPr="004E74D3">
        <w:rPr>
          <w:rFonts w:cs="Times New Roman"/>
          <w:bCs/>
          <w:u w:val="single"/>
          <w:lang w:val="fr-FR"/>
        </w:rPr>
        <w:t>a partie défenderesse</w:t>
      </w:r>
      <w:r w:rsidR="004E74D3">
        <w:rPr>
          <w:rFonts w:cs="Times New Roman"/>
          <w:bCs/>
          <w:lang w:val="fr-FR"/>
        </w:rPr>
        <w:t xml:space="preserve"> </w:t>
      </w:r>
      <w:r>
        <w:rPr>
          <w:rFonts w:cs="Times New Roman"/>
          <w:bCs/>
          <w:lang w:val="fr-FR"/>
        </w:rPr>
        <w:t>s’en réfère à l’argumentation de FEDRIS</w:t>
      </w:r>
      <w:r w:rsidR="004E74D3">
        <w:rPr>
          <w:rFonts w:cs="Times New Roman"/>
          <w:bCs/>
          <w:lang w:val="fr-FR"/>
        </w:rPr>
        <w:t>.</w:t>
      </w:r>
    </w:p>
    <w:p w14:paraId="4DE85252" w14:textId="77777777" w:rsidR="004E74D3" w:rsidRDefault="004E74D3" w:rsidP="006755A6">
      <w:pPr>
        <w:tabs>
          <w:tab w:val="left" w:pos="-1440"/>
        </w:tabs>
        <w:snapToGrid w:val="0"/>
        <w:jc w:val="both"/>
        <w:rPr>
          <w:rFonts w:cs="Times New Roman"/>
          <w:bCs/>
          <w:lang w:val="fr-FR"/>
        </w:rPr>
      </w:pPr>
    </w:p>
    <w:p w14:paraId="64AAEB87" w14:textId="77777777" w:rsidR="00D053F8" w:rsidRDefault="00D053F8" w:rsidP="006755A6">
      <w:pPr>
        <w:tabs>
          <w:tab w:val="left" w:pos="-1440"/>
        </w:tabs>
        <w:snapToGrid w:val="0"/>
        <w:jc w:val="both"/>
        <w:rPr>
          <w:rFonts w:cs="Times New Roman"/>
          <w:bCs/>
          <w:lang w:val="fr-FR"/>
        </w:rPr>
      </w:pPr>
      <w:r>
        <w:rPr>
          <w:rFonts w:cs="Times New Roman"/>
          <w:bCs/>
          <w:lang w:val="fr-FR"/>
        </w:rPr>
        <w:t xml:space="preserve">Aussi, elle sollicite </w:t>
      </w:r>
      <w:r w:rsidRPr="00D053F8">
        <w:rPr>
          <w:rFonts w:cs="Times New Roman"/>
          <w:b/>
          <w:bCs/>
          <w:lang w:val="fr-FR"/>
        </w:rPr>
        <w:t>à titre principal</w:t>
      </w:r>
      <w:r>
        <w:rPr>
          <w:rFonts w:cs="Times New Roman"/>
          <w:bCs/>
          <w:lang w:val="fr-FR"/>
        </w:rPr>
        <w:t xml:space="preserve"> que la demande soit déclarée recevable mais non fondée.  </w:t>
      </w:r>
    </w:p>
    <w:p w14:paraId="0C1A8EC9" w14:textId="77777777" w:rsidR="00D053F8" w:rsidRPr="00D053F8" w:rsidRDefault="00D053F8" w:rsidP="006755A6">
      <w:pPr>
        <w:tabs>
          <w:tab w:val="left" w:pos="-1440"/>
        </w:tabs>
        <w:snapToGrid w:val="0"/>
        <w:jc w:val="both"/>
        <w:rPr>
          <w:rFonts w:cs="Times New Roman"/>
          <w:bCs/>
          <w:lang w:val="fr-FR"/>
        </w:rPr>
      </w:pPr>
      <w:r>
        <w:rPr>
          <w:rFonts w:cs="Times New Roman"/>
          <w:b/>
          <w:bCs/>
          <w:lang w:val="fr-FR"/>
        </w:rPr>
        <w:t>A titre subsidiaire</w:t>
      </w:r>
      <w:r>
        <w:rPr>
          <w:rFonts w:cs="Times New Roman"/>
          <w:bCs/>
          <w:lang w:val="fr-FR"/>
        </w:rPr>
        <w:t>, elle précise la date de prise de cours des intérêts ainsi que le salaire de base à retenir.</w:t>
      </w:r>
    </w:p>
    <w:p w14:paraId="71E46858" w14:textId="77777777" w:rsidR="00D053F8" w:rsidRDefault="00D053F8" w:rsidP="006755A6">
      <w:pPr>
        <w:tabs>
          <w:tab w:val="left" w:pos="-1440"/>
        </w:tabs>
        <w:snapToGrid w:val="0"/>
        <w:jc w:val="both"/>
        <w:rPr>
          <w:rFonts w:cs="Times New Roman"/>
          <w:bCs/>
          <w:lang w:val="fr-FR"/>
        </w:rPr>
      </w:pPr>
      <w:r>
        <w:rPr>
          <w:rFonts w:cs="Times New Roman"/>
          <w:bCs/>
          <w:lang w:val="fr-FR"/>
        </w:rPr>
        <w:t>Elle postule qu’il soit statué ce que de droit quant aux intérêts, frais et dépens.</w:t>
      </w:r>
    </w:p>
    <w:p w14:paraId="6283E211" w14:textId="77777777" w:rsidR="00D053F8" w:rsidRDefault="00D053F8" w:rsidP="006755A6">
      <w:pPr>
        <w:tabs>
          <w:tab w:val="left" w:pos="-1440"/>
        </w:tabs>
        <w:snapToGrid w:val="0"/>
        <w:jc w:val="both"/>
        <w:rPr>
          <w:rFonts w:cs="Times New Roman"/>
          <w:bCs/>
          <w:lang w:val="fr-FR"/>
        </w:rPr>
      </w:pPr>
    </w:p>
    <w:p w14:paraId="788487CE" w14:textId="77777777" w:rsidR="00D0656C" w:rsidRDefault="00D0656C" w:rsidP="00AB75AF">
      <w:pPr>
        <w:tabs>
          <w:tab w:val="left" w:pos="-1440"/>
        </w:tabs>
        <w:snapToGrid w:val="0"/>
        <w:jc w:val="both"/>
        <w:rPr>
          <w:rFonts w:cs="Times New Roman"/>
          <w:bCs/>
          <w:u w:val="single"/>
          <w:lang w:val="fr-FR"/>
        </w:rPr>
      </w:pPr>
    </w:p>
    <w:p w14:paraId="0F5ADDAE" w14:textId="77777777" w:rsidR="00576DFE" w:rsidRDefault="007B7AE7" w:rsidP="00AB75AF">
      <w:pPr>
        <w:tabs>
          <w:tab w:val="left" w:pos="-1440"/>
        </w:tabs>
        <w:snapToGrid w:val="0"/>
        <w:jc w:val="both"/>
        <w:rPr>
          <w:rFonts w:cs="Times New Roman"/>
          <w:bCs/>
          <w:lang w:val="fr-FR"/>
        </w:rPr>
      </w:pPr>
      <w:r>
        <w:rPr>
          <w:rFonts w:cs="Times New Roman"/>
          <w:bCs/>
          <w:u w:val="single"/>
          <w:lang w:val="fr-FR"/>
        </w:rPr>
        <w:t>L</w:t>
      </w:r>
      <w:r w:rsidR="00B50E0A" w:rsidRPr="004E74D3">
        <w:rPr>
          <w:rFonts w:cs="Times New Roman"/>
          <w:bCs/>
          <w:u w:val="single"/>
          <w:lang w:val="fr-FR"/>
        </w:rPr>
        <w:t>a partie intervenante volontaire</w:t>
      </w:r>
      <w:r>
        <w:rPr>
          <w:rFonts w:cs="Times New Roman"/>
          <w:bCs/>
          <w:lang w:val="fr-FR"/>
        </w:rPr>
        <w:t xml:space="preserve"> </w:t>
      </w:r>
      <w:r w:rsidR="00576DFE">
        <w:rPr>
          <w:rFonts w:cs="Times New Roman"/>
          <w:bCs/>
          <w:lang w:val="fr-FR"/>
        </w:rPr>
        <w:t xml:space="preserve">sollicite, </w:t>
      </w:r>
      <w:r w:rsidR="00576DFE">
        <w:rPr>
          <w:rFonts w:cs="Times New Roman"/>
          <w:b/>
          <w:bCs/>
          <w:lang w:val="fr-FR"/>
        </w:rPr>
        <w:t xml:space="preserve">à titre </w:t>
      </w:r>
      <w:r w:rsidR="00576DFE" w:rsidRPr="00E103D0">
        <w:rPr>
          <w:rFonts w:cs="Times New Roman"/>
          <w:b/>
          <w:bCs/>
          <w:lang w:val="fr-FR"/>
        </w:rPr>
        <w:t>principal</w:t>
      </w:r>
      <w:r w:rsidR="00576DFE">
        <w:rPr>
          <w:rFonts w:cs="Times New Roman"/>
          <w:bCs/>
          <w:lang w:val="fr-FR"/>
        </w:rPr>
        <w:t>, l’écartement du rapport d’expertise.</w:t>
      </w:r>
    </w:p>
    <w:p w14:paraId="2BF708CB" w14:textId="77777777" w:rsidR="00576DFE" w:rsidRDefault="00576DFE" w:rsidP="00AB75AF">
      <w:pPr>
        <w:tabs>
          <w:tab w:val="left" w:pos="-1440"/>
        </w:tabs>
        <w:snapToGrid w:val="0"/>
        <w:jc w:val="both"/>
        <w:rPr>
          <w:rFonts w:cs="Times New Roman"/>
          <w:bCs/>
          <w:lang w:val="fr-FR"/>
        </w:rPr>
      </w:pPr>
    </w:p>
    <w:p w14:paraId="3F193082" w14:textId="77777777" w:rsidR="00637066" w:rsidRDefault="00576DFE" w:rsidP="00AB75AF">
      <w:pPr>
        <w:tabs>
          <w:tab w:val="left" w:pos="-1440"/>
        </w:tabs>
        <w:snapToGrid w:val="0"/>
        <w:jc w:val="both"/>
        <w:rPr>
          <w:rFonts w:cs="Times New Roman"/>
          <w:bCs/>
          <w:lang w:val="fr-FR"/>
        </w:rPr>
      </w:pPr>
      <w:r>
        <w:rPr>
          <w:rFonts w:cs="Times New Roman"/>
          <w:bCs/>
          <w:lang w:val="fr-FR"/>
        </w:rPr>
        <w:t xml:space="preserve">Elle </w:t>
      </w:r>
      <w:r w:rsidR="00AB75AF" w:rsidRPr="00576DFE">
        <w:rPr>
          <w:rFonts w:cs="Times New Roman"/>
          <w:bCs/>
          <w:lang w:val="fr-FR"/>
        </w:rPr>
        <w:t>relève</w:t>
      </w:r>
      <w:r w:rsidR="00AB75AF">
        <w:rPr>
          <w:rFonts w:cs="Times New Roman"/>
          <w:bCs/>
          <w:lang w:val="fr-FR"/>
        </w:rPr>
        <w:t xml:space="preserve"> que l’atteinte dégénérative lombaire est une atteinte disséminée du segment cervical jusqu’au bas de la colonne lombaire à l’exception notable du disque L5-S1 qui ne présentait pas et qui ne présente toujours pas d’atteinte.</w:t>
      </w:r>
    </w:p>
    <w:p w14:paraId="4466C01F" w14:textId="77777777" w:rsidR="00576DFE" w:rsidRDefault="00576DFE" w:rsidP="00AB75AF">
      <w:pPr>
        <w:tabs>
          <w:tab w:val="left" w:pos="-1440"/>
        </w:tabs>
        <w:snapToGrid w:val="0"/>
        <w:jc w:val="both"/>
        <w:rPr>
          <w:rFonts w:cs="Times New Roman"/>
          <w:bCs/>
          <w:lang w:val="fr-FR"/>
        </w:rPr>
      </w:pPr>
    </w:p>
    <w:p w14:paraId="34E53762" w14:textId="77777777" w:rsidR="00576DFE" w:rsidRDefault="00576DFE" w:rsidP="00AB75AF">
      <w:pPr>
        <w:tabs>
          <w:tab w:val="left" w:pos="-1440"/>
        </w:tabs>
        <w:snapToGrid w:val="0"/>
        <w:jc w:val="both"/>
        <w:rPr>
          <w:rFonts w:cs="Times New Roman"/>
          <w:bCs/>
          <w:lang w:val="fr-FR"/>
        </w:rPr>
      </w:pPr>
      <w:r>
        <w:rPr>
          <w:rFonts w:cs="Times New Roman"/>
          <w:bCs/>
          <w:lang w:val="fr-FR"/>
        </w:rPr>
        <w:t>En ce qui concerne l’exposition au risque professionnel de contracter l’affection objectivée (dégénérescence discale disséminée sauf au niveau L5-S1), elle considère qu’elle n’est pas établie.</w:t>
      </w:r>
    </w:p>
    <w:p w14:paraId="588A8770" w14:textId="77777777" w:rsidR="00AB75AF" w:rsidRDefault="00AB75AF" w:rsidP="00AB75AF">
      <w:pPr>
        <w:tabs>
          <w:tab w:val="left" w:pos="-1440"/>
        </w:tabs>
        <w:snapToGrid w:val="0"/>
        <w:jc w:val="both"/>
        <w:rPr>
          <w:rFonts w:cs="Times New Roman"/>
          <w:bCs/>
          <w:lang w:val="fr-FR"/>
        </w:rPr>
      </w:pPr>
    </w:p>
    <w:p w14:paraId="557AAF8C" w14:textId="77777777" w:rsidR="00AB75AF" w:rsidRDefault="00AB75AF" w:rsidP="00AB75AF">
      <w:pPr>
        <w:tabs>
          <w:tab w:val="left" w:pos="-1440"/>
        </w:tabs>
        <w:snapToGrid w:val="0"/>
        <w:jc w:val="both"/>
        <w:rPr>
          <w:rFonts w:cs="Times New Roman"/>
          <w:bCs/>
          <w:lang w:val="fr-FR"/>
        </w:rPr>
      </w:pPr>
      <w:r>
        <w:rPr>
          <w:rFonts w:cs="Times New Roman"/>
          <w:bCs/>
          <w:lang w:val="fr-FR"/>
        </w:rPr>
        <w:t>En ce qui concerne le lien direct et déterminant</w:t>
      </w:r>
      <w:r w:rsidR="00B028EE">
        <w:rPr>
          <w:rFonts w:cs="Times New Roman"/>
          <w:bCs/>
          <w:lang w:val="fr-FR"/>
        </w:rPr>
        <w:t xml:space="preserve">, elle </w:t>
      </w:r>
      <w:r w:rsidR="00D0656C">
        <w:rPr>
          <w:rFonts w:cs="Times New Roman"/>
          <w:bCs/>
          <w:lang w:val="fr-FR"/>
        </w:rPr>
        <w:t>affirme</w:t>
      </w:r>
      <w:r w:rsidR="00B028EE">
        <w:rPr>
          <w:rFonts w:cs="Times New Roman"/>
          <w:bCs/>
          <w:lang w:val="fr-FR"/>
        </w:rPr>
        <w:t xml:space="preserve"> que l’expert judiciaire reste en défaut de le démontrer.</w:t>
      </w:r>
    </w:p>
    <w:p w14:paraId="5EAD8239" w14:textId="77777777" w:rsidR="00B11286" w:rsidRDefault="00B11286" w:rsidP="006755A6">
      <w:pPr>
        <w:tabs>
          <w:tab w:val="left" w:pos="-1440"/>
        </w:tabs>
        <w:snapToGrid w:val="0"/>
        <w:jc w:val="both"/>
        <w:rPr>
          <w:rFonts w:cs="Times New Roman"/>
          <w:bCs/>
          <w:lang w:val="fr-FR"/>
        </w:rPr>
      </w:pPr>
    </w:p>
    <w:p w14:paraId="4169A1EB" w14:textId="77777777" w:rsidR="00B028EE" w:rsidRPr="00D053F8" w:rsidRDefault="00B028EE" w:rsidP="00B028EE">
      <w:pPr>
        <w:tabs>
          <w:tab w:val="left" w:pos="-1440"/>
        </w:tabs>
        <w:snapToGrid w:val="0"/>
        <w:jc w:val="both"/>
        <w:rPr>
          <w:rFonts w:cs="Times New Roman"/>
          <w:bCs/>
          <w:lang w:val="fr-FR"/>
        </w:rPr>
      </w:pPr>
      <w:r>
        <w:rPr>
          <w:rFonts w:cs="Times New Roman"/>
          <w:b/>
          <w:bCs/>
          <w:lang w:val="fr-FR"/>
        </w:rPr>
        <w:t>A titre subsidiaire</w:t>
      </w:r>
      <w:r>
        <w:rPr>
          <w:rFonts w:cs="Times New Roman"/>
          <w:bCs/>
          <w:lang w:val="fr-FR"/>
        </w:rPr>
        <w:t>, elle précise la date de prise de cours des intérêts ainsi que le salaire de base à retenir.</w:t>
      </w:r>
    </w:p>
    <w:p w14:paraId="0C758CB7" w14:textId="77777777" w:rsidR="00B028EE" w:rsidRDefault="00B028EE" w:rsidP="00B028EE">
      <w:pPr>
        <w:tabs>
          <w:tab w:val="left" w:pos="-1440"/>
        </w:tabs>
        <w:snapToGrid w:val="0"/>
        <w:jc w:val="both"/>
        <w:rPr>
          <w:rFonts w:cs="Times New Roman"/>
          <w:bCs/>
          <w:lang w:val="fr-FR"/>
        </w:rPr>
      </w:pPr>
    </w:p>
    <w:p w14:paraId="14A401E1" w14:textId="77777777" w:rsidR="00B028EE" w:rsidRDefault="00B028EE" w:rsidP="00B028EE">
      <w:pPr>
        <w:tabs>
          <w:tab w:val="left" w:pos="-1440"/>
        </w:tabs>
        <w:snapToGrid w:val="0"/>
        <w:jc w:val="both"/>
        <w:rPr>
          <w:rFonts w:cs="Times New Roman"/>
          <w:bCs/>
          <w:lang w:val="fr-FR"/>
        </w:rPr>
      </w:pPr>
      <w:r>
        <w:rPr>
          <w:rFonts w:cs="Times New Roman"/>
          <w:bCs/>
          <w:lang w:val="fr-FR"/>
        </w:rPr>
        <w:t>Elle postule qu’il soit statué ce que de droit quant aux intérêts, frais et dépens.</w:t>
      </w:r>
    </w:p>
    <w:p w14:paraId="72E8CD75" w14:textId="77777777" w:rsidR="006755A6" w:rsidRPr="004E74D3" w:rsidRDefault="006755A6" w:rsidP="006755A6">
      <w:pPr>
        <w:tabs>
          <w:tab w:val="left" w:pos="-1440"/>
        </w:tabs>
        <w:snapToGrid w:val="0"/>
        <w:jc w:val="both"/>
        <w:rPr>
          <w:rFonts w:cs="Times New Roman"/>
          <w:b/>
          <w:bCs/>
          <w:lang w:val="fr-FR"/>
        </w:rPr>
      </w:pPr>
    </w:p>
    <w:p w14:paraId="681EEE99" w14:textId="77777777" w:rsidR="006755A6" w:rsidRPr="006755A6" w:rsidRDefault="006755A6" w:rsidP="006755A6">
      <w:pPr>
        <w:tabs>
          <w:tab w:val="left" w:pos="-1440"/>
        </w:tabs>
        <w:snapToGrid w:val="0"/>
        <w:jc w:val="both"/>
        <w:rPr>
          <w:rFonts w:cs="Times New Roman"/>
          <w:b/>
          <w:bCs/>
          <w:u w:val="single"/>
          <w:lang w:val="fr-FR"/>
        </w:rPr>
      </w:pPr>
    </w:p>
    <w:p w14:paraId="05B44F68" w14:textId="77777777" w:rsidR="006755A6" w:rsidRPr="006755A6" w:rsidRDefault="000854E9" w:rsidP="006755A6">
      <w:pPr>
        <w:numPr>
          <w:ilvl w:val="0"/>
          <w:numId w:val="2"/>
        </w:numPr>
        <w:tabs>
          <w:tab w:val="left" w:pos="-1440"/>
        </w:tabs>
        <w:snapToGrid w:val="0"/>
        <w:jc w:val="both"/>
        <w:rPr>
          <w:rFonts w:cs="Times New Roman"/>
          <w:b/>
          <w:bCs/>
          <w:u w:val="single"/>
        </w:rPr>
      </w:pPr>
      <w:r w:rsidRPr="002A58D3">
        <w:rPr>
          <w:rFonts w:cs="Times New Roman"/>
          <w:b/>
          <w:bCs/>
          <w:u w:val="single"/>
        </w:rPr>
        <w:t>RAPPORT D’EXPERTISE</w:t>
      </w:r>
      <w:r w:rsidR="006755A6" w:rsidRPr="006755A6">
        <w:rPr>
          <w:rFonts w:cs="Times New Roman"/>
          <w:b/>
          <w:bCs/>
        </w:rPr>
        <w:t> :</w:t>
      </w:r>
    </w:p>
    <w:p w14:paraId="71570ADE" w14:textId="77777777" w:rsidR="006755A6" w:rsidRPr="006755A6" w:rsidRDefault="006755A6" w:rsidP="006755A6">
      <w:pPr>
        <w:tabs>
          <w:tab w:val="left" w:pos="-1440"/>
        </w:tabs>
        <w:snapToGrid w:val="0"/>
        <w:jc w:val="both"/>
        <w:rPr>
          <w:rFonts w:cs="Times New Roman"/>
          <w:lang w:val="fr-FR"/>
        </w:rPr>
      </w:pPr>
    </w:p>
    <w:p w14:paraId="3348C86E" w14:textId="77777777" w:rsidR="006755A6" w:rsidRDefault="00B50E0A" w:rsidP="006755A6">
      <w:pPr>
        <w:tabs>
          <w:tab w:val="left" w:pos="-1440"/>
        </w:tabs>
        <w:snapToGrid w:val="0"/>
        <w:jc w:val="both"/>
        <w:rPr>
          <w:rFonts w:cs="Times New Roman"/>
          <w:lang w:val="fr-FR"/>
        </w:rPr>
      </w:pPr>
      <w:r>
        <w:rPr>
          <w:rFonts w:cs="Times New Roman"/>
          <w:lang w:val="fr-FR"/>
        </w:rPr>
        <w:t xml:space="preserve">Le rapport initial </w:t>
      </w:r>
      <w:r w:rsidR="006755A6" w:rsidRPr="006755A6">
        <w:rPr>
          <w:rFonts w:cs="Times New Roman"/>
          <w:lang w:val="fr-FR"/>
        </w:rPr>
        <w:t>conclut : « (…)</w:t>
      </w:r>
    </w:p>
    <w:p w14:paraId="0A3DFF74" w14:textId="77777777" w:rsidR="008E3FC6" w:rsidRPr="00B50E0A" w:rsidRDefault="008E3FC6" w:rsidP="006755A6">
      <w:pPr>
        <w:tabs>
          <w:tab w:val="left" w:pos="-1440"/>
        </w:tabs>
        <w:snapToGrid w:val="0"/>
        <w:jc w:val="both"/>
        <w:rPr>
          <w:rFonts w:cs="Times New Roman"/>
          <w:i/>
          <w:lang w:val="fr-FR"/>
        </w:rPr>
      </w:pPr>
    </w:p>
    <w:p w14:paraId="077DB04E" w14:textId="77777777" w:rsidR="00551C75" w:rsidRPr="00551C75" w:rsidRDefault="00551C75" w:rsidP="00792290">
      <w:pPr>
        <w:pStyle w:val="Corpsdetexte"/>
        <w:rPr>
          <w:i/>
        </w:rPr>
      </w:pPr>
      <w:r w:rsidRPr="00551C75">
        <w:rPr>
          <w:i/>
        </w:rPr>
        <w:t xml:space="preserve">La partie demanderesse présente bien une lombarthrose, maladie pour laquelle la réparation suite </w:t>
      </w:r>
      <w:r w:rsidR="00576DFE">
        <w:rPr>
          <w:i/>
        </w:rPr>
        <w:t>à</w:t>
      </w:r>
      <w:r w:rsidRPr="00551C75">
        <w:rPr>
          <w:i/>
        </w:rPr>
        <w:t xml:space="preserve"> une aggravation est demandée. </w:t>
      </w:r>
    </w:p>
    <w:p w14:paraId="7BE1456C" w14:textId="77777777" w:rsidR="00551C75" w:rsidRPr="00551C75" w:rsidRDefault="00551C75" w:rsidP="00792290">
      <w:pPr>
        <w:pStyle w:val="Corpsdetexte"/>
        <w:rPr>
          <w:i/>
        </w:rPr>
      </w:pPr>
      <w:r w:rsidRPr="00551C75">
        <w:rPr>
          <w:i/>
        </w:rPr>
        <w:t xml:space="preserve">Elle a été exposée au risque professionnel de contracter cette maladie. </w:t>
      </w:r>
    </w:p>
    <w:p w14:paraId="0C313D12" w14:textId="77777777" w:rsidR="00551C75" w:rsidRPr="00551C75" w:rsidRDefault="00551C75" w:rsidP="00792290">
      <w:pPr>
        <w:pStyle w:val="Corpsdetexte"/>
        <w:rPr>
          <w:i/>
        </w:rPr>
      </w:pPr>
      <w:r w:rsidRPr="00551C75">
        <w:rPr>
          <w:i/>
        </w:rPr>
        <w:t xml:space="preserve">La maladie trouve sa cause directe et déterminante dans l'exercice de la profession </w:t>
      </w:r>
    </w:p>
    <w:p w14:paraId="58008054" w14:textId="77777777" w:rsidR="00551C75" w:rsidRPr="00551C75" w:rsidRDefault="00551C75" w:rsidP="00792290">
      <w:pPr>
        <w:pStyle w:val="Corpsdetexte"/>
        <w:rPr>
          <w:i/>
        </w:rPr>
      </w:pPr>
      <w:r w:rsidRPr="00551C75">
        <w:rPr>
          <w:i/>
        </w:rPr>
        <w:t xml:space="preserve">L'aggravation de l'incapacité de travail secondaire </w:t>
      </w:r>
      <w:r w:rsidR="00D0656C">
        <w:rPr>
          <w:i/>
        </w:rPr>
        <w:t>à</w:t>
      </w:r>
      <w:r w:rsidRPr="00551C75">
        <w:rPr>
          <w:i/>
        </w:rPr>
        <w:t xml:space="preserve"> l'affection est objectivée le 19.01.2021 et prend cours à cette date. </w:t>
      </w:r>
    </w:p>
    <w:p w14:paraId="2647F77A" w14:textId="77777777" w:rsidR="00792290" w:rsidRDefault="00551C75" w:rsidP="00792290">
      <w:pPr>
        <w:pStyle w:val="Corpsdetexte"/>
        <w:rPr>
          <w:rFonts w:cs="Times New Roman"/>
        </w:rPr>
      </w:pPr>
      <w:r w:rsidRPr="00551C75">
        <w:rPr>
          <w:i/>
        </w:rPr>
        <w:t>Le nouveau taux d'incapacité permanente de travail atteint 10 % (dix pourcents), sans préjudice de l'application des facteurs socio-économiques qui relèvent de l'appréciation du tribunal.</w:t>
      </w:r>
      <w:r w:rsidR="00792290">
        <w:rPr>
          <w:rFonts w:cs="Times New Roman"/>
        </w:rPr>
        <w:t> »</w:t>
      </w:r>
    </w:p>
    <w:p w14:paraId="31EDB872" w14:textId="77777777" w:rsidR="00EB2260" w:rsidRDefault="00EB2260" w:rsidP="00792290">
      <w:pPr>
        <w:pStyle w:val="Corpsdetexte"/>
        <w:rPr>
          <w:rFonts w:cs="Times New Roman"/>
        </w:rPr>
      </w:pPr>
    </w:p>
    <w:p w14:paraId="07C9BEF1" w14:textId="77777777" w:rsidR="00EB2260" w:rsidRDefault="00EB2260" w:rsidP="00792290">
      <w:pPr>
        <w:pStyle w:val="Corpsdetexte"/>
        <w:rPr>
          <w:rFonts w:cs="Times New Roman"/>
        </w:rPr>
      </w:pPr>
    </w:p>
    <w:p w14:paraId="61AEC8A3" w14:textId="77777777" w:rsidR="00EB2260" w:rsidRPr="001A0437" w:rsidRDefault="00EB2260" w:rsidP="00792290">
      <w:pPr>
        <w:pStyle w:val="Corpsdetexte"/>
        <w:rPr>
          <w:rFonts w:cs="Times New Roman"/>
        </w:rPr>
      </w:pPr>
    </w:p>
    <w:p w14:paraId="0954120D" w14:textId="77777777" w:rsidR="003E3AD3" w:rsidRPr="00604108" w:rsidRDefault="003E3AD3" w:rsidP="006755A6">
      <w:pPr>
        <w:tabs>
          <w:tab w:val="left" w:pos="-1440"/>
        </w:tabs>
        <w:snapToGrid w:val="0"/>
        <w:jc w:val="both"/>
        <w:rPr>
          <w:rFonts w:cs="Times New Roman"/>
          <w:lang w:val="fr-FR"/>
        </w:rPr>
      </w:pPr>
    </w:p>
    <w:p w14:paraId="7945215C" w14:textId="77777777" w:rsidR="000854E9" w:rsidRDefault="00604108" w:rsidP="000854E9">
      <w:pPr>
        <w:pStyle w:val="Paragraphedeliste"/>
        <w:numPr>
          <w:ilvl w:val="0"/>
          <w:numId w:val="2"/>
        </w:numPr>
        <w:tabs>
          <w:tab w:val="left" w:pos="-1440"/>
        </w:tabs>
        <w:snapToGrid w:val="0"/>
        <w:jc w:val="both"/>
        <w:rPr>
          <w:rFonts w:cs="Times New Roman"/>
          <w:b/>
          <w:lang w:val="fr-FR"/>
        </w:rPr>
      </w:pPr>
      <w:r w:rsidRPr="002A58D3">
        <w:rPr>
          <w:rFonts w:cs="Times New Roman"/>
          <w:b/>
          <w:u w:val="single"/>
          <w:lang w:val="fr-FR"/>
        </w:rPr>
        <w:lastRenderedPageBreak/>
        <w:t>DECISION</w:t>
      </w:r>
      <w:r w:rsidR="000854E9">
        <w:rPr>
          <w:rFonts w:cs="Times New Roman"/>
          <w:b/>
          <w:lang w:val="fr-FR"/>
        </w:rPr>
        <w:t>.</w:t>
      </w:r>
    </w:p>
    <w:p w14:paraId="6C1DBFCE" w14:textId="77777777" w:rsidR="00F02D23" w:rsidRDefault="00F02D23" w:rsidP="00F02D23">
      <w:pPr>
        <w:tabs>
          <w:tab w:val="left" w:pos="-1440"/>
        </w:tabs>
        <w:snapToGrid w:val="0"/>
        <w:jc w:val="both"/>
        <w:rPr>
          <w:rFonts w:cs="Times New Roman"/>
          <w:bCs/>
          <w:i/>
        </w:rPr>
      </w:pPr>
    </w:p>
    <w:p w14:paraId="4C542591" w14:textId="77777777" w:rsidR="00B11286" w:rsidRDefault="00B11286" w:rsidP="00F02D23">
      <w:pPr>
        <w:tabs>
          <w:tab w:val="left" w:pos="-1440"/>
        </w:tabs>
        <w:snapToGrid w:val="0"/>
        <w:jc w:val="both"/>
        <w:rPr>
          <w:rFonts w:cs="Times New Roman"/>
          <w:bCs/>
          <w:i/>
        </w:rPr>
      </w:pPr>
    </w:p>
    <w:p w14:paraId="5331FC86" w14:textId="77777777" w:rsidR="00DA4D7C" w:rsidRPr="00662527" w:rsidRDefault="00DA4D7C" w:rsidP="00DA4D7C">
      <w:pPr>
        <w:numPr>
          <w:ilvl w:val="0"/>
          <w:numId w:val="20"/>
        </w:numPr>
        <w:tabs>
          <w:tab w:val="left" w:pos="-1440"/>
        </w:tabs>
        <w:snapToGrid w:val="0"/>
        <w:jc w:val="both"/>
        <w:rPr>
          <w:rFonts w:cs="Times New Roman"/>
          <w:u w:val="single"/>
        </w:rPr>
      </w:pPr>
      <w:r w:rsidRPr="00662527">
        <w:rPr>
          <w:rFonts w:cs="Times New Roman"/>
          <w:u w:val="single"/>
        </w:rPr>
        <w:t>Critique de l’expert</w:t>
      </w:r>
      <w:r w:rsidRPr="00662527">
        <w:rPr>
          <w:rFonts w:cs="Times New Roman"/>
        </w:rPr>
        <w:t>.</w:t>
      </w:r>
    </w:p>
    <w:p w14:paraId="3FB17A25" w14:textId="77777777" w:rsidR="00DA4D7C" w:rsidRPr="00662527" w:rsidRDefault="00DA4D7C" w:rsidP="00DA4D7C">
      <w:pPr>
        <w:tabs>
          <w:tab w:val="left" w:pos="-1440"/>
        </w:tabs>
        <w:snapToGrid w:val="0"/>
        <w:jc w:val="both"/>
        <w:rPr>
          <w:rFonts w:cs="Times New Roman"/>
        </w:rPr>
      </w:pPr>
    </w:p>
    <w:p w14:paraId="16A7B2A3" w14:textId="77777777" w:rsidR="00DA4D7C" w:rsidRPr="00662527" w:rsidRDefault="00DA4D7C" w:rsidP="00DA4D7C">
      <w:pPr>
        <w:tabs>
          <w:tab w:val="left" w:pos="-1440"/>
        </w:tabs>
        <w:snapToGrid w:val="0"/>
        <w:jc w:val="both"/>
        <w:rPr>
          <w:rFonts w:cs="Times New Roman"/>
        </w:rPr>
      </w:pPr>
      <w:r w:rsidRPr="00662527">
        <w:rPr>
          <w:rFonts w:cs="Times New Roman"/>
        </w:rPr>
        <w:t xml:space="preserve">La Cour du Travail de LIEGE a jugé que : </w:t>
      </w:r>
      <w:r w:rsidRPr="00662527">
        <w:rPr>
          <w:rFonts w:cs="Times New Roman"/>
          <w:i/>
        </w:rPr>
        <w:t>« Les critiques émises à l’encontre d’un rapport d’expertise judiciaire sont inopérantes du moment que, comme en l’espèce, il apparaît que l’expert s’est informé dûment et qu’après contact avec les médecins-conseils des parties ou consultation de ceux-ci, il s’est prononcé avec objectivité et compétence en des conclusions qui sont précises et concordantes</w:t>
      </w:r>
      <w:r w:rsidRPr="001464E6">
        <w:rPr>
          <w:rFonts w:cs="Times New Roman"/>
          <w:vertAlign w:val="superscript"/>
        </w:rPr>
        <w:footnoteReference w:id="1"/>
      </w:r>
      <w:r w:rsidRPr="00662527">
        <w:rPr>
          <w:rFonts w:cs="Times New Roman"/>
          <w:i/>
        </w:rPr>
        <w:t>.</w:t>
      </w:r>
    </w:p>
    <w:p w14:paraId="3A7CDED9" w14:textId="77777777" w:rsidR="00DA4D7C" w:rsidRPr="00662527" w:rsidRDefault="00DA4D7C" w:rsidP="00DA4D7C">
      <w:pPr>
        <w:tabs>
          <w:tab w:val="left" w:pos="-1440"/>
        </w:tabs>
        <w:snapToGrid w:val="0"/>
        <w:jc w:val="both"/>
        <w:rPr>
          <w:rFonts w:cs="Times New Roman"/>
          <w:i/>
        </w:rPr>
      </w:pPr>
    </w:p>
    <w:p w14:paraId="637DF72F" w14:textId="77777777" w:rsidR="00DA4D7C" w:rsidRPr="001464E6" w:rsidRDefault="00DA4D7C" w:rsidP="00DA4D7C">
      <w:pPr>
        <w:tabs>
          <w:tab w:val="left" w:pos="-1440"/>
        </w:tabs>
        <w:snapToGrid w:val="0"/>
        <w:jc w:val="both"/>
        <w:rPr>
          <w:rFonts w:cs="Times New Roman"/>
          <w:vertAlign w:val="superscript"/>
        </w:rPr>
      </w:pPr>
      <w:r w:rsidRPr="00662527">
        <w:rPr>
          <w:rFonts w:cs="Times New Roman"/>
          <w:i/>
        </w:rPr>
        <w:t>La mission d’un expert judiciaire consiste précisément à départager deux thèses en présence et une simple appréciation divergente du conseil médical de l’appelant, sans produire le moindre élément nouveau, ne peut amener la Cour à s’écarter des conclusions de l’expert ou à recourir à une nouvelle mesure d’expertise médicale et ce d’autant moins que l’expert a répondu, point par point, aux remarques formulées par le médecin-conseil</w:t>
      </w:r>
      <w:r w:rsidRPr="00662527">
        <w:rPr>
          <w:rFonts w:cs="Times New Roman"/>
        </w:rPr>
        <w:t>. »</w:t>
      </w:r>
      <w:r w:rsidRPr="001464E6">
        <w:rPr>
          <w:rFonts w:cs="Times New Roman"/>
          <w:vertAlign w:val="superscript"/>
        </w:rPr>
        <w:footnoteReference w:id="2"/>
      </w:r>
    </w:p>
    <w:p w14:paraId="7280A36F" w14:textId="77777777" w:rsidR="00DA4D7C" w:rsidRPr="00662527" w:rsidRDefault="00DA4D7C" w:rsidP="00DA4D7C">
      <w:pPr>
        <w:tabs>
          <w:tab w:val="left" w:pos="-1440"/>
        </w:tabs>
        <w:snapToGrid w:val="0"/>
        <w:jc w:val="both"/>
        <w:rPr>
          <w:rFonts w:cs="Times New Roman"/>
        </w:rPr>
      </w:pPr>
    </w:p>
    <w:p w14:paraId="4C0ABF9A" w14:textId="77777777" w:rsidR="00DA4D7C" w:rsidRPr="001464E6" w:rsidRDefault="00DA4D7C" w:rsidP="00DA4D7C">
      <w:pPr>
        <w:tabs>
          <w:tab w:val="left" w:pos="-1440"/>
        </w:tabs>
        <w:snapToGrid w:val="0"/>
        <w:jc w:val="both"/>
        <w:rPr>
          <w:rFonts w:cs="Times New Roman"/>
          <w:vertAlign w:val="superscript"/>
        </w:rPr>
      </w:pPr>
      <w:r w:rsidRPr="00662527">
        <w:rPr>
          <w:rFonts w:cs="Times New Roman"/>
        </w:rPr>
        <w:t>Enfin, « </w:t>
      </w:r>
      <w:r w:rsidRPr="00662527">
        <w:rPr>
          <w:rFonts w:cs="Times New Roman"/>
          <w:i/>
        </w:rPr>
        <w:t>La Cour rappelle que si une expertise a été ordonnée, c’est pour permettre de trancher, en s’appuyant sur un avis de l’homme de l’art indépendant des parties, la contestation née de la divergence des avis du médecin-conseil et du médecin traitant.  Au risque de ruiner le principe même de l’expertise judiciaire, l’avis donné par l’expert choisi par les tribunaux ne peut être suspecté par le seul fait qu’il ne concorde pas avec celui du médecin d’une des parties.  Un simple désaccord quant aux conclusions de l’expert ne suffit donc pas pour justifier le recours à une nouvelle expertise (v. entre autres, C trav. Bruxelles, 8</w:t>
      </w:r>
      <w:r w:rsidRPr="00662527">
        <w:rPr>
          <w:rFonts w:cs="Times New Roman"/>
          <w:i/>
          <w:vertAlign w:val="superscript"/>
        </w:rPr>
        <w:t>ième</w:t>
      </w:r>
      <w:r w:rsidRPr="00662527">
        <w:rPr>
          <w:rFonts w:cs="Times New Roman"/>
          <w:i/>
        </w:rPr>
        <w:t xml:space="preserve"> ch., 30.01.2014, RG 2012/AB/912, inédit).</w:t>
      </w:r>
      <w:r w:rsidRPr="00662527">
        <w:rPr>
          <w:rFonts w:cs="Times New Roman"/>
        </w:rPr>
        <w:t> »</w:t>
      </w:r>
      <w:r w:rsidRPr="001464E6">
        <w:rPr>
          <w:rFonts w:cs="Times New Roman"/>
          <w:vertAlign w:val="superscript"/>
        </w:rPr>
        <w:footnoteReference w:id="3"/>
      </w:r>
    </w:p>
    <w:p w14:paraId="53654E89" w14:textId="77777777" w:rsidR="00DA4D7C" w:rsidRDefault="00DA4D7C" w:rsidP="00DA4D7C">
      <w:pPr>
        <w:tabs>
          <w:tab w:val="left" w:pos="-1440"/>
        </w:tabs>
        <w:snapToGrid w:val="0"/>
        <w:jc w:val="both"/>
        <w:rPr>
          <w:rFonts w:cs="Times New Roman"/>
        </w:rPr>
      </w:pPr>
    </w:p>
    <w:p w14:paraId="7082C492" w14:textId="77777777" w:rsidR="004A6545" w:rsidRPr="00662527" w:rsidRDefault="004A6545" w:rsidP="00DA4D7C">
      <w:pPr>
        <w:tabs>
          <w:tab w:val="left" w:pos="-1440"/>
        </w:tabs>
        <w:snapToGrid w:val="0"/>
        <w:jc w:val="both"/>
        <w:rPr>
          <w:rFonts w:cs="Times New Roman"/>
        </w:rPr>
      </w:pPr>
    </w:p>
    <w:p w14:paraId="63BBF6F8" w14:textId="77777777" w:rsidR="00DA4D7C" w:rsidRPr="00662527" w:rsidRDefault="00DA4D7C" w:rsidP="00DA4D7C">
      <w:pPr>
        <w:numPr>
          <w:ilvl w:val="0"/>
          <w:numId w:val="20"/>
        </w:numPr>
        <w:tabs>
          <w:tab w:val="left" w:pos="-1440"/>
        </w:tabs>
        <w:snapToGrid w:val="0"/>
        <w:jc w:val="both"/>
        <w:rPr>
          <w:rFonts w:cs="Times New Roman"/>
        </w:rPr>
      </w:pPr>
      <w:r w:rsidRPr="00662527">
        <w:rPr>
          <w:rFonts w:cs="Times New Roman"/>
          <w:u w:val="single"/>
        </w:rPr>
        <w:t>La demande de réparation d’une maladie HORS liste et l’étendue de la charge de la preuve</w:t>
      </w:r>
      <w:r w:rsidRPr="00662527">
        <w:rPr>
          <w:rFonts w:cs="Times New Roman"/>
        </w:rPr>
        <w:t>.</w:t>
      </w:r>
    </w:p>
    <w:p w14:paraId="3CFE7185" w14:textId="77777777" w:rsidR="00DA4D7C" w:rsidRPr="00662527" w:rsidRDefault="00DA4D7C" w:rsidP="00DA4D7C">
      <w:pPr>
        <w:tabs>
          <w:tab w:val="left" w:pos="-1440"/>
        </w:tabs>
        <w:snapToGrid w:val="0"/>
        <w:jc w:val="both"/>
        <w:rPr>
          <w:rFonts w:cs="Times New Roman"/>
        </w:rPr>
      </w:pPr>
    </w:p>
    <w:p w14:paraId="0855C49A" w14:textId="77777777" w:rsidR="00DA4D7C" w:rsidRPr="00662527" w:rsidRDefault="00DA4D7C" w:rsidP="00DA4D7C">
      <w:pPr>
        <w:tabs>
          <w:tab w:val="left" w:pos="-1440"/>
        </w:tabs>
        <w:snapToGrid w:val="0"/>
        <w:jc w:val="both"/>
        <w:rPr>
          <w:rFonts w:cs="Times New Roman"/>
          <w:i/>
        </w:rPr>
      </w:pPr>
      <w:r w:rsidRPr="00662527">
        <w:rPr>
          <w:rFonts w:cs="Times New Roman"/>
        </w:rPr>
        <w:t>«</w:t>
      </w:r>
      <w:r w:rsidRPr="00662527">
        <w:rPr>
          <w:rFonts w:cs="Times New Roman"/>
          <w:i/>
        </w:rPr>
        <w:t> Dans le système hors liste, le travailleur qui est assujetti à la loi réparatrice au moment de l’exposition au risque doit donc prouver :</w:t>
      </w:r>
    </w:p>
    <w:p w14:paraId="5D63EDC8" w14:textId="77777777" w:rsidR="00DA4D7C" w:rsidRPr="00662527" w:rsidRDefault="00DA4D7C" w:rsidP="00DA4D7C">
      <w:pPr>
        <w:tabs>
          <w:tab w:val="left" w:pos="-1440"/>
        </w:tabs>
        <w:snapToGrid w:val="0"/>
        <w:jc w:val="both"/>
        <w:rPr>
          <w:rFonts w:cs="Times New Roman"/>
          <w:i/>
        </w:rPr>
      </w:pPr>
    </w:p>
    <w:p w14:paraId="5DA60771" w14:textId="77777777" w:rsidR="00DA4D7C" w:rsidRPr="00662527" w:rsidRDefault="00DA4D7C" w:rsidP="00DA4D7C">
      <w:pPr>
        <w:numPr>
          <w:ilvl w:val="0"/>
          <w:numId w:val="19"/>
        </w:numPr>
        <w:tabs>
          <w:tab w:val="left" w:pos="-1440"/>
        </w:tabs>
        <w:snapToGrid w:val="0"/>
        <w:jc w:val="both"/>
        <w:rPr>
          <w:rFonts w:cs="Times New Roman"/>
          <w:i/>
        </w:rPr>
      </w:pPr>
      <w:r w:rsidRPr="00662527">
        <w:rPr>
          <w:rFonts w:cs="Times New Roman"/>
          <w:i/>
        </w:rPr>
        <w:t>qu’il est atteint de la maladie hors liste dont il décrit la pathologie ;</w:t>
      </w:r>
    </w:p>
    <w:p w14:paraId="45786892" w14:textId="77777777" w:rsidR="00DA4D7C" w:rsidRPr="00662527" w:rsidRDefault="00DA4D7C" w:rsidP="00DA4D7C">
      <w:pPr>
        <w:numPr>
          <w:ilvl w:val="0"/>
          <w:numId w:val="19"/>
        </w:numPr>
        <w:tabs>
          <w:tab w:val="left" w:pos="-1440"/>
        </w:tabs>
        <w:snapToGrid w:val="0"/>
        <w:jc w:val="both"/>
        <w:rPr>
          <w:rFonts w:cs="Times New Roman"/>
          <w:i/>
        </w:rPr>
      </w:pPr>
      <w:r w:rsidRPr="00662527">
        <w:rPr>
          <w:rFonts w:cs="Times New Roman"/>
          <w:i/>
        </w:rPr>
        <w:t>qu’il a subi une exposition au risque professionnel de cette maladie ;</w:t>
      </w:r>
    </w:p>
    <w:p w14:paraId="37507FCF" w14:textId="77777777" w:rsidR="00DA4D7C" w:rsidRPr="001464E6" w:rsidRDefault="00DA4D7C" w:rsidP="00DA4D7C">
      <w:pPr>
        <w:numPr>
          <w:ilvl w:val="0"/>
          <w:numId w:val="19"/>
        </w:numPr>
        <w:tabs>
          <w:tab w:val="left" w:pos="-1440"/>
        </w:tabs>
        <w:snapToGrid w:val="0"/>
        <w:jc w:val="both"/>
        <w:rPr>
          <w:rFonts w:cs="Times New Roman"/>
          <w:vertAlign w:val="superscript"/>
        </w:rPr>
      </w:pPr>
      <w:r w:rsidRPr="00662527">
        <w:rPr>
          <w:rFonts w:cs="Times New Roman"/>
          <w:i/>
        </w:rPr>
        <w:t>que la maladie trouve sa cause déterminante et directe dans l’exercice de la profession.</w:t>
      </w:r>
      <w:r w:rsidRPr="00662527">
        <w:rPr>
          <w:rFonts w:cs="Times New Roman"/>
        </w:rPr>
        <w:t> »</w:t>
      </w:r>
      <w:r w:rsidRPr="001464E6">
        <w:rPr>
          <w:rFonts w:cs="Times New Roman"/>
          <w:vertAlign w:val="superscript"/>
        </w:rPr>
        <w:footnoteReference w:id="4"/>
      </w:r>
    </w:p>
    <w:p w14:paraId="2643E8B7" w14:textId="77777777" w:rsidR="00DA4D7C" w:rsidRDefault="00DA4D7C" w:rsidP="00DA4D7C">
      <w:pPr>
        <w:tabs>
          <w:tab w:val="left" w:pos="-1440"/>
        </w:tabs>
        <w:snapToGrid w:val="0"/>
        <w:jc w:val="both"/>
        <w:rPr>
          <w:rFonts w:cs="Times New Roman"/>
        </w:rPr>
      </w:pPr>
    </w:p>
    <w:p w14:paraId="16437705" w14:textId="77777777" w:rsidR="00F36FD3" w:rsidRDefault="00F36FD3" w:rsidP="00F36FD3">
      <w:pPr>
        <w:pStyle w:val="Paragraphedeliste"/>
        <w:numPr>
          <w:ilvl w:val="0"/>
          <w:numId w:val="24"/>
        </w:numPr>
        <w:tabs>
          <w:tab w:val="left" w:pos="-1440"/>
        </w:tabs>
        <w:snapToGrid w:val="0"/>
        <w:jc w:val="both"/>
        <w:rPr>
          <w:rFonts w:cs="Times New Roman"/>
        </w:rPr>
      </w:pPr>
      <w:r>
        <w:rPr>
          <w:rFonts w:cs="Times New Roman"/>
        </w:rPr>
        <w:t>L’atteinte.</w:t>
      </w:r>
    </w:p>
    <w:p w14:paraId="3539B9AF" w14:textId="77777777" w:rsidR="00421220" w:rsidRDefault="00421220" w:rsidP="00421220">
      <w:pPr>
        <w:tabs>
          <w:tab w:val="left" w:pos="-1440"/>
        </w:tabs>
        <w:snapToGrid w:val="0"/>
        <w:jc w:val="both"/>
        <w:rPr>
          <w:rFonts w:cs="Times New Roman"/>
        </w:rPr>
      </w:pPr>
    </w:p>
    <w:p w14:paraId="02953144" w14:textId="77777777" w:rsidR="00A81CF7" w:rsidRDefault="00A81CF7" w:rsidP="00A81CF7">
      <w:pPr>
        <w:tabs>
          <w:tab w:val="left" w:pos="-720"/>
        </w:tabs>
        <w:jc w:val="both"/>
        <w:rPr>
          <w:rFonts w:cs="Times New Roman"/>
        </w:rPr>
      </w:pPr>
      <w:r w:rsidRPr="007266E3">
        <w:rPr>
          <w:rFonts w:cs="Times New Roman"/>
        </w:rPr>
        <w:t>La demande relève du secteur public.</w:t>
      </w:r>
    </w:p>
    <w:p w14:paraId="308FA425" w14:textId="77777777" w:rsidR="00A81CF7" w:rsidRDefault="00A81CF7" w:rsidP="00A81CF7">
      <w:pPr>
        <w:tabs>
          <w:tab w:val="left" w:pos="-720"/>
        </w:tabs>
        <w:jc w:val="both"/>
        <w:rPr>
          <w:rFonts w:cs="Times New Roman"/>
        </w:rPr>
      </w:pPr>
    </w:p>
    <w:p w14:paraId="1198D9E4" w14:textId="77777777" w:rsidR="00A81CF7" w:rsidRDefault="00A81CF7" w:rsidP="00A81CF7">
      <w:pPr>
        <w:tabs>
          <w:tab w:val="left" w:pos="-720"/>
        </w:tabs>
        <w:jc w:val="both"/>
        <w:rPr>
          <w:rFonts w:cs="Times New Roman"/>
        </w:rPr>
      </w:pPr>
      <w:r w:rsidRPr="00301CA9">
        <w:rPr>
          <w:rFonts w:cs="Times New Roman"/>
        </w:rPr>
        <w:t>La maladie professionnelle</w:t>
      </w:r>
      <w:r>
        <w:rPr>
          <w:rFonts w:cs="Times New Roman"/>
        </w:rPr>
        <w:t xml:space="preserve">, </w:t>
      </w:r>
      <w:r w:rsidR="004A6545">
        <w:rPr>
          <w:rFonts w:cs="Times New Roman"/>
        </w:rPr>
        <w:t>affection à la colonne lombaire</w:t>
      </w:r>
      <w:r w:rsidR="008430B7">
        <w:rPr>
          <w:rFonts w:cs="Times New Roman"/>
        </w:rPr>
        <w:t xml:space="preserve"> (</w:t>
      </w:r>
      <w:r w:rsidRPr="00301CA9">
        <w:rPr>
          <w:rFonts w:cs="Times New Roman"/>
        </w:rPr>
        <w:t>code 1.605.12</w:t>
      </w:r>
      <w:r w:rsidR="008430B7">
        <w:rPr>
          <w:rFonts w:cs="Times New Roman"/>
        </w:rPr>
        <w:t>)</w:t>
      </w:r>
      <w:r w:rsidRPr="00301CA9">
        <w:rPr>
          <w:rFonts w:cs="Times New Roman"/>
        </w:rPr>
        <w:t xml:space="preserve"> du demandeur était prise en charge depuis</w:t>
      </w:r>
      <w:r>
        <w:rPr>
          <w:rFonts w:cs="Times New Roman"/>
        </w:rPr>
        <w:t xml:space="preserve"> </w:t>
      </w:r>
      <w:r w:rsidR="008430B7">
        <w:rPr>
          <w:rFonts w:cs="Times New Roman"/>
        </w:rPr>
        <w:t>09</w:t>
      </w:r>
      <w:r>
        <w:rPr>
          <w:rFonts w:cs="Times New Roman"/>
        </w:rPr>
        <w:t xml:space="preserve"> avril 1999, moyennant la reconnaissance ‘un taux d’incapacité permanente partielle de 6 %.</w:t>
      </w:r>
    </w:p>
    <w:p w14:paraId="2FEBBE05" w14:textId="77777777" w:rsidR="00A81CF7" w:rsidRPr="00301CA9" w:rsidRDefault="00A81CF7" w:rsidP="00A81CF7">
      <w:pPr>
        <w:tabs>
          <w:tab w:val="left" w:pos="-720"/>
        </w:tabs>
        <w:jc w:val="both"/>
        <w:rPr>
          <w:rFonts w:cs="Times New Roman"/>
        </w:rPr>
      </w:pPr>
    </w:p>
    <w:p w14:paraId="01E59685" w14:textId="77777777" w:rsidR="00A81CF7" w:rsidRPr="00301CA9" w:rsidRDefault="00A81CF7" w:rsidP="00A81CF7">
      <w:pPr>
        <w:tabs>
          <w:tab w:val="left" w:pos="-720"/>
        </w:tabs>
        <w:jc w:val="both"/>
        <w:rPr>
          <w:rFonts w:cs="Times New Roman"/>
        </w:rPr>
      </w:pPr>
      <w:r w:rsidRPr="00301CA9">
        <w:rPr>
          <w:rFonts w:cs="Times New Roman"/>
        </w:rPr>
        <w:t>La liste des maladies professionnelles a été modifiée par un A</w:t>
      </w:r>
      <w:r w:rsidR="008430B7">
        <w:rPr>
          <w:rFonts w:cs="Times New Roman"/>
        </w:rPr>
        <w:t xml:space="preserve">rrêté </w:t>
      </w:r>
      <w:r w:rsidRPr="00301CA9">
        <w:rPr>
          <w:rFonts w:cs="Times New Roman"/>
        </w:rPr>
        <w:t>R</w:t>
      </w:r>
      <w:r w:rsidR="008430B7">
        <w:rPr>
          <w:rFonts w:cs="Times New Roman"/>
        </w:rPr>
        <w:t xml:space="preserve">oyal </w:t>
      </w:r>
      <w:r w:rsidRPr="00301CA9">
        <w:rPr>
          <w:rFonts w:cs="Times New Roman"/>
        </w:rPr>
        <w:t>du 27</w:t>
      </w:r>
      <w:r>
        <w:rPr>
          <w:rFonts w:cs="Times New Roman"/>
        </w:rPr>
        <w:t xml:space="preserve"> décembre </w:t>
      </w:r>
      <w:r w:rsidRPr="00301CA9">
        <w:rPr>
          <w:rFonts w:cs="Times New Roman"/>
        </w:rPr>
        <w:t>2004.</w:t>
      </w:r>
    </w:p>
    <w:p w14:paraId="5FCC117B" w14:textId="77777777" w:rsidR="00A81CF7" w:rsidRPr="00301CA9" w:rsidRDefault="00A81CF7" w:rsidP="00A81CF7">
      <w:pPr>
        <w:tabs>
          <w:tab w:val="left" w:pos="-720"/>
        </w:tabs>
        <w:jc w:val="both"/>
        <w:rPr>
          <w:rFonts w:cs="Times New Roman"/>
        </w:rPr>
      </w:pPr>
    </w:p>
    <w:p w14:paraId="32C7791F" w14:textId="77777777" w:rsidR="00A81CF7" w:rsidRPr="00301CA9" w:rsidRDefault="00A81CF7" w:rsidP="00A81CF7">
      <w:pPr>
        <w:tabs>
          <w:tab w:val="left" w:pos="-720"/>
        </w:tabs>
        <w:jc w:val="both"/>
        <w:rPr>
          <w:rFonts w:cs="Times New Roman"/>
        </w:rPr>
      </w:pPr>
      <w:r w:rsidRPr="00301CA9">
        <w:rPr>
          <w:rFonts w:cs="Times New Roman"/>
        </w:rPr>
        <w:t>Le code 1.605.12 a été modifié ou supprimé, et de nouveaux codes ont été instaurés : code 1.605.01 et 1.605.02 (membres supérieurs) et code 1.605.03 (affection lombaire).</w:t>
      </w:r>
    </w:p>
    <w:p w14:paraId="297E7826" w14:textId="77777777" w:rsidR="00A81CF7" w:rsidRPr="00301CA9" w:rsidRDefault="00A81CF7" w:rsidP="00A81CF7">
      <w:pPr>
        <w:tabs>
          <w:tab w:val="left" w:pos="-720"/>
        </w:tabs>
        <w:jc w:val="both"/>
        <w:rPr>
          <w:rFonts w:cs="Times New Roman"/>
        </w:rPr>
      </w:pPr>
    </w:p>
    <w:p w14:paraId="73D41421" w14:textId="77777777" w:rsidR="00A81CF7" w:rsidRPr="007266E3" w:rsidRDefault="00A81CF7" w:rsidP="00A81CF7">
      <w:pPr>
        <w:jc w:val="both"/>
        <w:rPr>
          <w:rFonts w:cs="Times New Roman"/>
        </w:rPr>
      </w:pPr>
      <w:r w:rsidRPr="007266E3">
        <w:rPr>
          <w:rFonts w:cs="Times New Roman"/>
        </w:rPr>
        <w:t>L’article 1</w:t>
      </w:r>
      <w:r w:rsidRPr="007266E3">
        <w:rPr>
          <w:rFonts w:cs="Times New Roman"/>
          <w:vertAlign w:val="superscript"/>
        </w:rPr>
        <w:t>er</w:t>
      </w:r>
      <w:r>
        <w:rPr>
          <w:rFonts w:cs="Times New Roman"/>
        </w:rPr>
        <w:t xml:space="preserve"> alinéa </w:t>
      </w:r>
      <w:r w:rsidRPr="007266E3">
        <w:rPr>
          <w:rFonts w:cs="Times New Roman"/>
        </w:rPr>
        <w:t xml:space="preserve">1er, 9° de la loi du </w:t>
      </w:r>
      <w:r>
        <w:rPr>
          <w:rFonts w:cs="Times New Roman"/>
        </w:rPr>
        <w:t>03 juillet 1967</w:t>
      </w:r>
      <w:r w:rsidRPr="007266E3">
        <w:rPr>
          <w:rFonts w:cs="Times New Roman"/>
        </w:rPr>
        <w:t xml:space="preserve"> relative à la réparation des accidents du travail et des maladies professionnelles dans le secteur public, précise que cette loi s’applique </w:t>
      </w:r>
      <w:r w:rsidRPr="007266E3">
        <w:rPr>
          <w:rFonts w:cs="Times New Roman"/>
          <w:bCs/>
        </w:rPr>
        <w:t>aux membres du personnel définitif, stagiaire, temporaire, auxiliaire ou engagés par contrat de travail qui appartiennent aux provinces, aux communes, aux intercommunales, aux établissements subordonnés aux provinces et aux communes, aux agglomérations et aux fédérations de communes, en vertu d’un arrêté royal d’exécution.</w:t>
      </w:r>
    </w:p>
    <w:p w14:paraId="2A153D63" w14:textId="77777777" w:rsidR="00A81CF7" w:rsidRPr="007266E3" w:rsidRDefault="00A81CF7" w:rsidP="00A81CF7">
      <w:pPr>
        <w:jc w:val="both"/>
        <w:rPr>
          <w:rFonts w:cs="Times New Roman"/>
        </w:rPr>
      </w:pPr>
    </w:p>
    <w:p w14:paraId="0BE0BB23" w14:textId="77777777" w:rsidR="008430B7" w:rsidRDefault="00A81CF7" w:rsidP="00A81CF7">
      <w:pPr>
        <w:jc w:val="both"/>
        <w:rPr>
          <w:rFonts w:cs="Times New Roman"/>
        </w:rPr>
      </w:pPr>
      <w:r w:rsidRPr="007266E3">
        <w:rPr>
          <w:rFonts w:cs="Times New Roman"/>
        </w:rPr>
        <w:t xml:space="preserve">Pour les </w:t>
      </w:r>
      <w:r w:rsidRPr="007266E3">
        <w:rPr>
          <w:rFonts w:cs="Times New Roman"/>
          <w:bCs/>
        </w:rPr>
        <w:t>membres du personnel appartenant aux administrations provinciales et locales</w:t>
      </w:r>
      <w:r w:rsidR="00573CE7">
        <w:rPr>
          <w:rFonts w:cs="Times New Roman"/>
        </w:rPr>
        <w:t>, l’Arrêté Royal d’exécution est l’Arrêté R</w:t>
      </w:r>
      <w:r w:rsidRPr="007266E3">
        <w:rPr>
          <w:rFonts w:cs="Times New Roman"/>
        </w:rPr>
        <w:t>oyal du 21</w:t>
      </w:r>
      <w:r w:rsidR="00CE4148">
        <w:rPr>
          <w:rFonts w:cs="Times New Roman"/>
        </w:rPr>
        <w:t xml:space="preserve"> janvier </w:t>
      </w:r>
      <w:r w:rsidRPr="007266E3">
        <w:rPr>
          <w:rFonts w:cs="Times New Roman"/>
        </w:rPr>
        <w:t>1993</w:t>
      </w:r>
      <w:r w:rsidR="008430B7">
        <w:rPr>
          <w:rFonts w:cs="Times New Roman"/>
        </w:rPr>
        <w:t>.</w:t>
      </w:r>
    </w:p>
    <w:p w14:paraId="4777DBB8" w14:textId="77777777" w:rsidR="00A81CF7" w:rsidRPr="007266E3" w:rsidRDefault="008430B7" w:rsidP="00A81CF7">
      <w:pPr>
        <w:jc w:val="both"/>
        <w:rPr>
          <w:rFonts w:cs="Times New Roman"/>
        </w:rPr>
      </w:pPr>
      <w:r w:rsidRPr="007266E3">
        <w:rPr>
          <w:rFonts w:cs="Times New Roman"/>
        </w:rPr>
        <w:t xml:space="preserve"> </w:t>
      </w:r>
    </w:p>
    <w:p w14:paraId="5C350FE9" w14:textId="77777777" w:rsidR="00A81CF7" w:rsidRPr="007266E3" w:rsidRDefault="00A81CF7" w:rsidP="00A81CF7">
      <w:pPr>
        <w:jc w:val="both"/>
        <w:rPr>
          <w:rFonts w:cs="Times New Roman"/>
          <w:b/>
          <w:bCs/>
        </w:rPr>
      </w:pPr>
      <w:r w:rsidRPr="007266E3">
        <w:rPr>
          <w:rFonts w:cs="Times New Roman"/>
        </w:rPr>
        <w:t>L’article 2 al</w:t>
      </w:r>
      <w:r w:rsidR="00CE4148">
        <w:rPr>
          <w:rFonts w:cs="Times New Roman"/>
        </w:rPr>
        <w:t xml:space="preserve">inéa </w:t>
      </w:r>
      <w:r w:rsidRPr="007266E3">
        <w:rPr>
          <w:rFonts w:cs="Times New Roman"/>
        </w:rPr>
        <w:t>6 de la loi du 03</w:t>
      </w:r>
      <w:r w:rsidR="00CE4148">
        <w:rPr>
          <w:rFonts w:cs="Times New Roman"/>
        </w:rPr>
        <w:t xml:space="preserve"> juillet </w:t>
      </w:r>
      <w:r w:rsidRPr="007266E3">
        <w:rPr>
          <w:rFonts w:cs="Times New Roman"/>
        </w:rPr>
        <w:t>1967 et l’article 4 de l’arrêté royal renvoient, pour déterminer la notion de « maladies professionnelles » aux articles 30 et 30 bis des lois coordonnées le 03</w:t>
      </w:r>
      <w:r w:rsidR="00CE4148">
        <w:rPr>
          <w:rFonts w:cs="Times New Roman"/>
        </w:rPr>
        <w:t xml:space="preserve"> juin </w:t>
      </w:r>
      <w:r w:rsidRPr="007266E3">
        <w:rPr>
          <w:rFonts w:cs="Times New Roman"/>
        </w:rPr>
        <w:t>1970 sur les maladies professionnelles applicables dans le secteur privé.</w:t>
      </w:r>
      <w:r w:rsidRPr="007266E3">
        <w:rPr>
          <w:rFonts w:cs="Times New Roman"/>
          <w:b/>
          <w:bCs/>
        </w:rPr>
        <w:t xml:space="preserve"> </w:t>
      </w:r>
    </w:p>
    <w:p w14:paraId="7AB05753" w14:textId="77777777" w:rsidR="00A81CF7" w:rsidRPr="007266E3" w:rsidRDefault="00A81CF7" w:rsidP="00A81CF7">
      <w:pPr>
        <w:jc w:val="both"/>
        <w:rPr>
          <w:rFonts w:cs="Times New Roman"/>
        </w:rPr>
      </w:pPr>
    </w:p>
    <w:p w14:paraId="5A130AC1" w14:textId="77777777" w:rsidR="00A81CF7" w:rsidRPr="007266E3" w:rsidRDefault="00A81CF7" w:rsidP="00A81CF7">
      <w:pPr>
        <w:jc w:val="both"/>
        <w:rPr>
          <w:rFonts w:cs="Times New Roman"/>
          <w:bCs/>
          <w:color w:val="000000"/>
          <w:lang w:val="fr-FR"/>
        </w:rPr>
      </w:pPr>
      <w:r w:rsidRPr="007266E3">
        <w:rPr>
          <w:rFonts w:cs="Times New Roman"/>
          <w:bCs/>
          <w:lang w:val="fr-FR"/>
        </w:rPr>
        <w:t>L’arrêté royal du</w:t>
      </w:r>
      <w:r w:rsidRPr="007266E3">
        <w:rPr>
          <w:rFonts w:cs="Times New Roman"/>
          <w:bCs/>
          <w:color w:val="000000"/>
          <w:lang w:val="fr-FR"/>
        </w:rPr>
        <w:t xml:space="preserve"> 28</w:t>
      </w:r>
      <w:r w:rsidR="00CE4148">
        <w:rPr>
          <w:rFonts w:cs="Times New Roman"/>
          <w:bCs/>
          <w:color w:val="000000"/>
          <w:lang w:val="fr-FR"/>
        </w:rPr>
        <w:t xml:space="preserve"> mars </w:t>
      </w:r>
      <w:r w:rsidRPr="007266E3">
        <w:rPr>
          <w:rFonts w:cs="Times New Roman"/>
          <w:bCs/>
          <w:color w:val="000000"/>
          <w:lang w:val="fr-FR"/>
        </w:rPr>
        <w:t>1969 pris en exécution de l’article 30 de la loi de 1970, dresse la liste des maladies professionnelles donnant lieu à réparation (et fixe les critères auxquels doit répondre l'exposition au risque professionnel pour certaines d'entre elles).</w:t>
      </w:r>
    </w:p>
    <w:p w14:paraId="279074D7" w14:textId="77777777" w:rsidR="00A81CF7" w:rsidRPr="007266E3" w:rsidRDefault="00A81CF7" w:rsidP="00A81CF7">
      <w:pPr>
        <w:jc w:val="both"/>
        <w:rPr>
          <w:rFonts w:cs="Times New Roman"/>
          <w:bCs/>
          <w:color w:val="000000"/>
          <w:lang w:val="fr-FR"/>
        </w:rPr>
      </w:pPr>
    </w:p>
    <w:p w14:paraId="6BDF3711" w14:textId="77777777" w:rsidR="00A81CF7" w:rsidRPr="007266E3" w:rsidRDefault="00A81CF7" w:rsidP="00A81CF7">
      <w:pPr>
        <w:jc w:val="both"/>
        <w:rPr>
          <w:rFonts w:cs="Times New Roman"/>
        </w:rPr>
      </w:pPr>
      <w:r w:rsidRPr="007266E3">
        <w:rPr>
          <w:rFonts w:cs="Times New Roman"/>
        </w:rPr>
        <w:t>Selon l’article 30</w:t>
      </w:r>
      <w:r w:rsidRPr="007266E3">
        <w:rPr>
          <w:rFonts w:cs="Times New Roman"/>
          <w:i/>
        </w:rPr>
        <w:t>bis</w:t>
      </w:r>
      <w:r w:rsidRPr="007266E3">
        <w:rPr>
          <w:rFonts w:cs="Times New Roman"/>
        </w:rPr>
        <w:t xml:space="preserve"> des lois coordonnées du 03</w:t>
      </w:r>
      <w:r w:rsidR="00CE4148">
        <w:rPr>
          <w:rFonts w:cs="Times New Roman"/>
        </w:rPr>
        <w:t xml:space="preserve"> juin </w:t>
      </w:r>
      <w:r w:rsidRPr="007266E3">
        <w:rPr>
          <w:rFonts w:cs="Times New Roman"/>
        </w:rPr>
        <w:t xml:space="preserve">1970 : </w:t>
      </w:r>
      <w:r w:rsidRPr="007266E3">
        <w:rPr>
          <w:rFonts w:cs="Times New Roman"/>
          <w:iCs/>
        </w:rPr>
        <w:t>« </w:t>
      </w:r>
      <w:r w:rsidRPr="008430B7">
        <w:rPr>
          <w:rFonts w:cs="Times New Roman"/>
          <w:i/>
          <w:iCs/>
        </w:rPr>
        <w:t>Donne également lieu à réparation dans les conditions fixées par le Roi, la maladie qui, tout en ne figurant pas sur la liste visée à l’article 30 des présentes lois, trouve sa cause déterminante et directe dans l’exercice de la profession.</w:t>
      </w:r>
      <w:r w:rsidRPr="008430B7">
        <w:rPr>
          <w:rFonts w:cs="Times New Roman"/>
          <w:i/>
        </w:rPr>
        <w:t xml:space="preserve"> </w:t>
      </w:r>
      <w:r w:rsidRPr="008430B7">
        <w:rPr>
          <w:rFonts w:cs="Times New Roman"/>
          <w:i/>
          <w:iCs/>
        </w:rPr>
        <w:t>La preuve du lien de causalité entre la maladie et l’exposition au risque professionnel de cette maladie est à charge de la victime ou de ses ayants droit</w:t>
      </w:r>
      <w:r w:rsidRPr="007266E3">
        <w:rPr>
          <w:rFonts w:cs="Times New Roman"/>
          <w:iCs/>
        </w:rPr>
        <w:t>. </w:t>
      </w:r>
      <w:r w:rsidRPr="007266E3">
        <w:rPr>
          <w:rFonts w:cs="Times New Roman"/>
        </w:rPr>
        <w:t>»</w:t>
      </w:r>
    </w:p>
    <w:p w14:paraId="6D5074A5" w14:textId="77777777" w:rsidR="00421220" w:rsidRDefault="00421220" w:rsidP="00421220">
      <w:pPr>
        <w:tabs>
          <w:tab w:val="left" w:pos="-1440"/>
        </w:tabs>
        <w:snapToGrid w:val="0"/>
        <w:jc w:val="both"/>
        <w:rPr>
          <w:rFonts w:cs="Times New Roman"/>
        </w:rPr>
      </w:pPr>
    </w:p>
    <w:p w14:paraId="4297C651" w14:textId="77777777" w:rsidR="004A6545" w:rsidRPr="00421220" w:rsidRDefault="004A6545" w:rsidP="00421220">
      <w:pPr>
        <w:tabs>
          <w:tab w:val="left" w:pos="-1440"/>
        </w:tabs>
        <w:snapToGrid w:val="0"/>
        <w:jc w:val="both"/>
        <w:rPr>
          <w:rFonts w:cs="Times New Roman"/>
        </w:rPr>
      </w:pPr>
    </w:p>
    <w:p w14:paraId="539FEC50" w14:textId="77777777" w:rsidR="00F36FD3" w:rsidRDefault="00F36FD3" w:rsidP="00F36FD3">
      <w:pPr>
        <w:pStyle w:val="Paragraphedeliste"/>
        <w:numPr>
          <w:ilvl w:val="0"/>
          <w:numId w:val="24"/>
        </w:numPr>
        <w:tabs>
          <w:tab w:val="left" w:pos="-1440"/>
        </w:tabs>
        <w:snapToGrid w:val="0"/>
        <w:jc w:val="both"/>
        <w:rPr>
          <w:rFonts w:cs="Times New Roman"/>
        </w:rPr>
      </w:pPr>
      <w:r>
        <w:rPr>
          <w:rFonts w:cs="Times New Roman"/>
        </w:rPr>
        <w:t>L’exposition dans le secteur public.</w:t>
      </w:r>
    </w:p>
    <w:p w14:paraId="39399F91" w14:textId="77777777" w:rsidR="00421220" w:rsidRDefault="00421220" w:rsidP="00421220">
      <w:pPr>
        <w:tabs>
          <w:tab w:val="left" w:pos="-1440"/>
        </w:tabs>
        <w:snapToGrid w:val="0"/>
        <w:jc w:val="both"/>
        <w:rPr>
          <w:rFonts w:cs="Times New Roman"/>
        </w:rPr>
      </w:pPr>
    </w:p>
    <w:p w14:paraId="72AB43BB" w14:textId="77777777" w:rsidR="00421220" w:rsidRPr="00D23A28" w:rsidRDefault="00421220" w:rsidP="00421220">
      <w:pPr>
        <w:jc w:val="both"/>
        <w:rPr>
          <w:rFonts w:cs="Times New Roman"/>
        </w:rPr>
      </w:pPr>
      <w:r w:rsidRPr="00D23A28">
        <w:rPr>
          <w:rFonts w:cs="Times New Roman"/>
        </w:rPr>
        <w:t xml:space="preserve">La notion d’exposition au risque n’est pas définie par la loi du 03 juillet 1967 sur la prévention ou la réparation des dommages résultant des accidents du travail, des accidents survenus sur le chemin du travail et des maladies professionnelles dans le secteur public. </w:t>
      </w:r>
    </w:p>
    <w:p w14:paraId="2F5256C5" w14:textId="77777777" w:rsidR="00421220" w:rsidRPr="00D23A28" w:rsidRDefault="00421220" w:rsidP="00421220">
      <w:pPr>
        <w:jc w:val="both"/>
        <w:rPr>
          <w:rFonts w:cs="Times New Roman"/>
        </w:rPr>
      </w:pPr>
    </w:p>
    <w:p w14:paraId="04D78488" w14:textId="77777777" w:rsidR="00421220" w:rsidRPr="00D23A28" w:rsidRDefault="00421220" w:rsidP="00421220">
      <w:pPr>
        <w:jc w:val="both"/>
        <w:rPr>
          <w:rFonts w:cs="Times New Roman"/>
        </w:rPr>
      </w:pPr>
      <w:r w:rsidRPr="00D23A28">
        <w:rPr>
          <w:rFonts w:cs="Times New Roman"/>
        </w:rPr>
        <w:t>A deux reprises, la Cour de cassation a exclu l’application de l’article 32 des lois coordonnées le 03 juin 1970 relatives à la prévention des maladies professionnelles et à la réparation des dommages résultant de celles-ci, dans le cadre de l’application de la loi du 03 juillet 1967 et de ses arrêtés d’exécution</w:t>
      </w:r>
      <w:r w:rsidR="00361A84">
        <w:rPr>
          <w:rFonts w:cs="Times New Roman"/>
        </w:rPr>
        <w:t>.</w:t>
      </w:r>
      <w:r w:rsidR="00361A84" w:rsidRPr="00361A84">
        <w:rPr>
          <w:rStyle w:val="Appelnotedebasdep"/>
          <w:rFonts w:cs="Times New Roman"/>
          <w:vertAlign w:val="superscript"/>
        </w:rPr>
        <w:footnoteReference w:id="5"/>
      </w:r>
      <w:r w:rsidRPr="00361A84">
        <w:rPr>
          <w:rFonts w:cs="Times New Roman"/>
          <w:vertAlign w:val="superscript"/>
        </w:rPr>
        <w:t xml:space="preserve"> </w:t>
      </w:r>
    </w:p>
    <w:p w14:paraId="5B041B63" w14:textId="77777777" w:rsidR="00421220" w:rsidRDefault="00421220" w:rsidP="00421220">
      <w:pPr>
        <w:tabs>
          <w:tab w:val="left" w:pos="-1440"/>
        </w:tabs>
        <w:snapToGrid w:val="0"/>
        <w:jc w:val="both"/>
        <w:rPr>
          <w:rFonts w:cs="Times New Roman"/>
        </w:rPr>
      </w:pPr>
    </w:p>
    <w:p w14:paraId="479B97D4" w14:textId="77777777" w:rsidR="00F11924" w:rsidRDefault="00F11924" w:rsidP="00421220">
      <w:pPr>
        <w:tabs>
          <w:tab w:val="left" w:pos="-1440"/>
        </w:tabs>
        <w:snapToGrid w:val="0"/>
        <w:jc w:val="both"/>
        <w:rPr>
          <w:rFonts w:cs="Times New Roman"/>
        </w:rPr>
      </w:pPr>
    </w:p>
    <w:p w14:paraId="371C8B50" w14:textId="77777777" w:rsidR="00361A84" w:rsidRPr="003045FE" w:rsidRDefault="00361A84" w:rsidP="00361A84">
      <w:pPr>
        <w:tabs>
          <w:tab w:val="left" w:pos="-1440"/>
        </w:tabs>
        <w:snapToGrid w:val="0"/>
        <w:jc w:val="both"/>
        <w:rPr>
          <w:rFonts w:cs="Times New Roman"/>
          <w:bCs/>
          <w:i/>
          <w:color w:val="000000"/>
          <w:shd w:val="clear" w:color="auto" w:fill="FFFFFF"/>
        </w:rPr>
      </w:pPr>
      <w:r w:rsidRPr="003045FE">
        <w:rPr>
          <w:rFonts w:cs="Times New Roman"/>
          <w:bCs/>
          <w:color w:val="000000"/>
          <w:shd w:val="clear" w:color="auto" w:fill="FFFFFF"/>
        </w:rPr>
        <w:t xml:space="preserve">En exécution de </w:t>
      </w:r>
      <w:r>
        <w:rPr>
          <w:rFonts w:cs="Times New Roman"/>
          <w:bCs/>
          <w:color w:val="000000"/>
          <w:shd w:val="clear" w:color="auto" w:fill="FFFFFF"/>
        </w:rPr>
        <w:t>la loi</w:t>
      </w:r>
      <w:r w:rsidRPr="003045FE">
        <w:rPr>
          <w:rFonts w:cs="Times New Roman"/>
          <w:bCs/>
          <w:color w:val="000000"/>
          <w:shd w:val="clear" w:color="auto" w:fill="FFFFFF"/>
        </w:rPr>
        <w:t xml:space="preserve"> cadre</w:t>
      </w:r>
      <w:r>
        <w:rPr>
          <w:rFonts w:cs="Times New Roman"/>
          <w:bCs/>
          <w:color w:val="000000"/>
          <w:shd w:val="clear" w:color="auto" w:fill="FFFFFF"/>
        </w:rPr>
        <w:t xml:space="preserve"> du 03 juillet 1967</w:t>
      </w:r>
      <w:r w:rsidRPr="003045FE">
        <w:rPr>
          <w:rFonts w:cs="Times New Roman"/>
          <w:bCs/>
          <w:color w:val="000000"/>
          <w:shd w:val="clear" w:color="auto" w:fill="FFFFFF"/>
        </w:rPr>
        <w:t xml:space="preserve">, </w:t>
      </w:r>
      <w:r w:rsidRPr="003045FE">
        <w:rPr>
          <w:rFonts w:cs="Times New Roman"/>
          <w:bCs/>
          <w:lang w:val="fr-FR"/>
        </w:rPr>
        <w:t xml:space="preserve">l’article 5 de l’arrêté royal du 21 janvier 1993 relatif à la réparation des dommages résultant des maladies professionnelles en faveur de certains membres du personnel appartenant aux administrations provinciales et </w:t>
      </w:r>
      <w:r w:rsidRPr="003045FE">
        <w:rPr>
          <w:rFonts w:cs="Times New Roman"/>
          <w:bCs/>
          <w:lang w:val="fr-FR"/>
        </w:rPr>
        <w:lastRenderedPageBreak/>
        <w:t>locales indique que :</w:t>
      </w:r>
      <w:r>
        <w:rPr>
          <w:rFonts w:cs="Times New Roman"/>
          <w:bCs/>
          <w:lang w:val="fr-FR"/>
        </w:rPr>
        <w:t xml:space="preserve"> </w:t>
      </w:r>
      <w:r w:rsidRPr="003045FE">
        <w:rPr>
          <w:rFonts w:cs="Times New Roman"/>
          <w:bCs/>
          <w:lang w:val="fr-FR"/>
        </w:rPr>
        <w:t> « </w:t>
      </w:r>
      <w:r w:rsidRPr="003045FE">
        <w:rPr>
          <w:rFonts w:cs="Times New Roman"/>
          <w:bCs/>
          <w:i/>
          <w:color w:val="000000"/>
          <w:shd w:val="clear" w:color="auto" w:fill="FFFFFF"/>
        </w:rPr>
        <w:t>La réparation du dommage résultant d'une maladie professionnelle est due lorsque la personne victime de cette maladie, a été exposée au risque professionnel de ladite maladie pendant la totalité ou une partie de la période au cours de laquelle elle appartenait au personnel visé à l'article 2.</w:t>
      </w:r>
    </w:p>
    <w:p w14:paraId="5D195A19" w14:textId="77777777" w:rsidR="00361A84" w:rsidRPr="003045FE" w:rsidRDefault="00361A84" w:rsidP="00361A84">
      <w:pPr>
        <w:tabs>
          <w:tab w:val="left" w:pos="-1440"/>
        </w:tabs>
        <w:snapToGrid w:val="0"/>
        <w:ind w:left="708"/>
        <w:jc w:val="both"/>
        <w:rPr>
          <w:rFonts w:cs="Times New Roman"/>
          <w:bCs/>
          <w:i/>
          <w:color w:val="000000"/>
          <w:shd w:val="clear" w:color="auto" w:fill="FFFFFF"/>
        </w:rPr>
      </w:pPr>
    </w:p>
    <w:p w14:paraId="30A24959" w14:textId="77777777" w:rsidR="00361A84" w:rsidRPr="003045FE" w:rsidRDefault="00361A84" w:rsidP="00361A84">
      <w:pPr>
        <w:tabs>
          <w:tab w:val="left" w:pos="-1440"/>
        </w:tabs>
        <w:snapToGrid w:val="0"/>
        <w:jc w:val="both"/>
        <w:rPr>
          <w:rFonts w:cs="Times New Roman"/>
          <w:bCs/>
          <w:i/>
          <w:color w:val="000000"/>
          <w:shd w:val="clear" w:color="auto" w:fill="FFFFFF"/>
        </w:rPr>
      </w:pPr>
      <w:r w:rsidRPr="003045FE">
        <w:rPr>
          <w:rFonts w:cs="Times New Roman"/>
          <w:bCs/>
          <w:i/>
          <w:color w:val="000000"/>
          <w:shd w:val="clear" w:color="auto" w:fill="FFFFFF"/>
        </w:rPr>
        <w:t>Est présumé, jusqu'à preuve du contraire, avoir exposé la victime au risque professionnel de la maladie professionnelle, tout travail effectué pendant la période visée à l'alinéa précédent dans les administrations et établissements mentionnés à l'article 2. »</w:t>
      </w:r>
    </w:p>
    <w:p w14:paraId="5CE4B41F" w14:textId="77777777" w:rsidR="00361A84" w:rsidRPr="003045FE" w:rsidRDefault="00361A84" w:rsidP="00361A84">
      <w:pPr>
        <w:tabs>
          <w:tab w:val="left" w:pos="-1440"/>
        </w:tabs>
        <w:snapToGrid w:val="0"/>
        <w:jc w:val="both"/>
        <w:rPr>
          <w:rFonts w:cs="Times New Roman"/>
          <w:bCs/>
          <w:lang w:val="fr-FR"/>
        </w:rPr>
      </w:pPr>
    </w:p>
    <w:p w14:paraId="4CDEEC77" w14:textId="77777777" w:rsidR="00361A84" w:rsidRPr="003045FE" w:rsidRDefault="00361A84" w:rsidP="00361A84">
      <w:pPr>
        <w:widowControl/>
        <w:tabs>
          <w:tab w:val="left" w:pos="-720"/>
        </w:tabs>
        <w:jc w:val="both"/>
        <w:rPr>
          <w:rFonts w:eastAsia="Times New Roman" w:cs="Times New Roman"/>
          <w:kern w:val="0"/>
          <w:lang w:eastAsia="en-US"/>
        </w:rPr>
      </w:pPr>
      <w:r w:rsidRPr="003045FE">
        <w:rPr>
          <w:rFonts w:eastAsia="Times New Roman" w:cs="Times New Roman"/>
          <w:kern w:val="0"/>
          <w:lang w:eastAsia="en-US"/>
        </w:rPr>
        <w:t>Comme</w:t>
      </w:r>
      <w:r w:rsidRPr="003045FE">
        <w:rPr>
          <w:rFonts w:cs="Times New Roman"/>
        </w:rPr>
        <w:t xml:space="preserve"> l’a jugé la Cour de cassation dans son arrêt du 4 avril 2016 dans un litige concernant une malade « liste », la condition d’exposition au risque est régie exclusivement par la disposition pertinente de l’arrêté royal d’exécution applicable (en l’espèce, l’article 5 de l’arrêté royal du 21 janvier 1993). Celle-ci exclut l’application de son « pendant » au sein du secteur privé, l’article 32 des lois coordonnées. L’arrêt confirme ainsi la thèse selon laquelle le renvoi par la loi du 3 juillet 1967 aux lois coordonnées du 3 juin 1970 est limité aux articles 30 et 30bis et n’inclut pas l’article 32</w:t>
      </w:r>
      <w:r w:rsidRPr="003045FE">
        <w:rPr>
          <w:rStyle w:val="Appelnotedebasdep"/>
          <w:rFonts w:cs="Times New Roman"/>
        </w:rPr>
        <w:footnoteReference w:id="6"/>
      </w:r>
      <w:r w:rsidRPr="003045FE">
        <w:rPr>
          <w:rFonts w:cs="Times New Roman"/>
        </w:rPr>
        <w:t xml:space="preserve">. </w:t>
      </w:r>
      <w:r w:rsidRPr="003045FE">
        <w:rPr>
          <w:rFonts w:eastAsia="Times New Roman" w:cs="Times New Roman"/>
          <w:kern w:val="0"/>
          <w:lang w:eastAsia="en-US"/>
        </w:rPr>
        <w:t xml:space="preserve"> </w:t>
      </w:r>
    </w:p>
    <w:p w14:paraId="1F227DF4" w14:textId="77777777" w:rsidR="00361A84" w:rsidRPr="003045FE" w:rsidRDefault="00361A84" w:rsidP="00361A84">
      <w:pPr>
        <w:widowControl/>
        <w:tabs>
          <w:tab w:val="left" w:pos="-720"/>
        </w:tabs>
        <w:jc w:val="both"/>
        <w:rPr>
          <w:rFonts w:eastAsia="Times New Roman" w:cs="Times New Roman"/>
          <w:kern w:val="0"/>
          <w:lang w:eastAsia="en-US"/>
        </w:rPr>
      </w:pPr>
    </w:p>
    <w:p w14:paraId="0946C2A0" w14:textId="77777777" w:rsidR="00361A84" w:rsidRPr="003045FE" w:rsidRDefault="00361A84" w:rsidP="00361A84">
      <w:pPr>
        <w:widowControl/>
        <w:tabs>
          <w:tab w:val="left" w:pos="-720"/>
        </w:tabs>
        <w:jc w:val="both"/>
        <w:rPr>
          <w:rFonts w:eastAsia="Times New Roman" w:cs="Times New Roman"/>
          <w:kern w:val="0"/>
          <w:lang w:eastAsia="en-US"/>
        </w:rPr>
      </w:pPr>
      <w:r w:rsidRPr="003045FE">
        <w:rPr>
          <w:rFonts w:eastAsia="Times New Roman" w:cs="Times New Roman"/>
          <w:kern w:val="0"/>
          <w:lang w:eastAsia="en-US"/>
        </w:rPr>
        <w:t>Par arrêt du 10 décembre 2018, la Cour de cassation a précisé que l’application de la présomption d’exposition au risque professionnel dans le secteur public n’est pas limitée aux seules maladies professionnelles de la liste mais s’étend aux maladies non reprises sur la liste belge et qui trouve leur cause directe et déterminante dans l’exercice de la profession</w:t>
      </w:r>
      <w:r w:rsidRPr="00361A84">
        <w:rPr>
          <w:rStyle w:val="Appelnotedebasdep"/>
          <w:rFonts w:eastAsia="Times New Roman" w:cs="Times New Roman"/>
          <w:kern w:val="0"/>
          <w:vertAlign w:val="superscript"/>
          <w:lang w:eastAsia="en-US"/>
        </w:rPr>
        <w:footnoteReference w:id="7"/>
      </w:r>
      <w:r w:rsidRPr="003045FE">
        <w:rPr>
          <w:rFonts w:eastAsia="Times New Roman" w:cs="Times New Roman"/>
          <w:kern w:val="0"/>
          <w:lang w:eastAsia="en-US"/>
        </w:rPr>
        <w:t xml:space="preserve">. </w:t>
      </w:r>
    </w:p>
    <w:p w14:paraId="7AA52473" w14:textId="77777777" w:rsidR="00361A84" w:rsidRPr="003045FE" w:rsidRDefault="00361A84" w:rsidP="00361A84">
      <w:pPr>
        <w:widowControl/>
        <w:tabs>
          <w:tab w:val="left" w:pos="-720"/>
        </w:tabs>
        <w:jc w:val="both"/>
        <w:rPr>
          <w:rFonts w:eastAsia="Times New Roman" w:cs="Times New Roman"/>
          <w:kern w:val="0"/>
          <w:lang w:eastAsia="en-US"/>
        </w:rPr>
      </w:pPr>
    </w:p>
    <w:p w14:paraId="2C74560D" w14:textId="77777777" w:rsidR="00361A84" w:rsidRPr="003045FE" w:rsidRDefault="00361A84" w:rsidP="00361A84">
      <w:pPr>
        <w:widowControl/>
        <w:tabs>
          <w:tab w:val="left" w:pos="-720"/>
        </w:tabs>
        <w:jc w:val="both"/>
        <w:rPr>
          <w:rFonts w:eastAsia="Times New Roman" w:cs="Times New Roman"/>
          <w:kern w:val="0"/>
          <w:lang w:eastAsia="en-US"/>
        </w:rPr>
      </w:pPr>
      <w:r w:rsidRPr="003045FE">
        <w:rPr>
          <w:rFonts w:eastAsia="Times New Roman" w:cs="Times New Roman"/>
          <w:kern w:val="0"/>
          <w:lang w:eastAsia="en-US"/>
        </w:rPr>
        <w:t>L’exposition au risque professionnel de la maladie est ainsi présumée par le seul fait de l’occupation dans une administration ou un organisme public. La légalité de la présomption instaurée par les articles 4, alinéa 2, de l’Arrêté Royal du 5 janvier 1971 et 5, alinéa 2, et de l’Arrêté Royal du 21 janvier 1993, n’est donc pas remise en cause par la Cour de Cassation.</w:t>
      </w:r>
    </w:p>
    <w:p w14:paraId="0615F762" w14:textId="77777777" w:rsidR="00361A84" w:rsidRPr="003045FE" w:rsidRDefault="00361A84" w:rsidP="00361A84">
      <w:pPr>
        <w:widowControl/>
        <w:tabs>
          <w:tab w:val="left" w:pos="-720"/>
        </w:tabs>
        <w:jc w:val="both"/>
        <w:rPr>
          <w:rFonts w:eastAsia="Times New Roman" w:cs="Times New Roman"/>
          <w:kern w:val="0"/>
          <w:lang w:eastAsia="en-US"/>
        </w:rPr>
      </w:pPr>
    </w:p>
    <w:p w14:paraId="13C02918" w14:textId="77777777" w:rsidR="00361A84" w:rsidRPr="003045FE" w:rsidRDefault="00361A84" w:rsidP="00361A84">
      <w:pPr>
        <w:widowControl/>
        <w:tabs>
          <w:tab w:val="left" w:pos="-720"/>
        </w:tabs>
        <w:jc w:val="both"/>
        <w:textAlignment w:val="auto"/>
        <w:rPr>
          <w:rFonts w:eastAsia="Times New Roman" w:cs="Times New Roman"/>
          <w:kern w:val="0"/>
          <w:lang w:eastAsia="en-US"/>
        </w:rPr>
      </w:pPr>
      <w:r w:rsidRPr="003045FE">
        <w:rPr>
          <w:rFonts w:eastAsia="Times New Roman" w:cs="Times New Roman"/>
          <w:kern w:val="0"/>
          <w:lang w:eastAsia="en-US"/>
        </w:rPr>
        <w:t>En conclusion, le travailleur du secteur public qui établit la réalité d’une maladie professionnelle reprise dans la liste ou hors liste bénéficie d’une présomption réfragable au risque d’exposition professionnel</w:t>
      </w:r>
      <w:r w:rsidR="00F11924">
        <w:rPr>
          <w:rFonts w:eastAsia="Times New Roman" w:cs="Times New Roman"/>
          <w:kern w:val="0"/>
          <w:lang w:eastAsia="en-US"/>
        </w:rPr>
        <w:t>le</w:t>
      </w:r>
      <w:r w:rsidRPr="003045FE">
        <w:rPr>
          <w:rFonts w:eastAsia="Times New Roman" w:cs="Times New Roman"/>
          <w:kern w:val="0"/>
          <w:lang w:eastAsia="en-US"/>
        </w:rPr>
        <w:t xml:space="preserve"> de ladite maladie.</w:t>
      </w:r>
    </w:p>
    <w:p w14:paraId="4DF543ED" w14:textId="77777777" w:rsidR="00361A84" w:rsidRPr="003045FE" w:rsidRDefault="00361A84" w:rsidP="00361A84">
      <w:pPr>
        <w:widowControl/>
        <w:tabs>
          <w:tab w:val="left" w:pos="-720"/>
        </w:tabs>
        <w:jc w:val="both"/>
        <w:rPr>
          <w:rFonts w:eastAsia="Times New Roman" w:cs="Times New Roman"/>
          <w:i/>
          <w:kern w:val="0"/>
          <w:lang w:eastAsia="en-US"/>
        </w:rPr>
      </w:pPr>
    </w:p>
    <w:p w14:paraId="553BBC81" w14:textId="77777777" w:rsidR="00361A84" w:rsidRPr="003045FE" w:rsidRDefault="00361A84" w:rsidP="00361A84">
      <w:pPr>
        <w:jc w:val="both"/>
        <w:rPr>
          <w:rFonts w:cs="Times New Roman"/>
        </w:rPr>
      </w:pPr>
      <w:r w:rsidRPr="003045FE">
        <w:rPr>
          <w:rFonts w:cs="Times New Roman"/>
        </w:rPr>
        <w:t xml:space="preserve">Compte tenu de la présomption applicable dans le secteur public, la partie défenderesse doit, </w:t>
      </w:r>
      <w:r w:rsidRPr="003045FE">
        <w:rPr>
          <w:rFonts w:cs="Times New Roman"/>
          <w:i/>
        </w:rPr>
        <w:t xml:space="preserve">in </w:t>
      </w:r>
      <w:proofErr w:type="spellStart"/>
      <w:r w:rsidRPr="003045FE">
        <w:rPr>
          <w:rFonts w:cs="Times New Roman"/>
          <w:i/>
        </w:rPr>
        <w:t>casu</w:t>
      </w:r>
      <w:proofErr w:type="spellEnd"/>
      <w:r w:rsidRPr="003045FE">
        <w:rPr>
          <w:rFonts w:cs="Times New Roman"/>
        </w:rPr>
        <w:t>, démontrer que le demandeur n’a pas été exposé au risque de la maladie</w:t>
      </w:r>
      <w:r w:rsidR="00606CF4">
        <w:rPr>
          <w:rFonts w:cs="Times New Roman"/>
        </w:rPr>
        <w:t>.</w:t>
      </w:r>
      <w:r w:rsidRPr="003045FE">
        <w:rPr>
          <w:rFonts w:cs="Times New Roman"/>
        </w:rPr>
        <w:t xml:space="preserve"> Cette preuve d’absence d’exposition au risque est plus rigoureuse que celle qui consiste à établir qu’il n’est pas certain qu’il y a eu une exposition au risque. Cette preuve contraire ne doit pas être absolue mais doit présenter un haut degré de vraisemblance</w:t>
      </w:r>
      <w:r w:rsidR="00606CF4">
        <w:rPr>
          <w:rFonts w:cs="Times New Roman"/>
        </w:rPr>
        <w:t>.</w:t>
      </w:r>
      <w:r w:rsidRPr="00606CF4">
        <w:rPr>
          <w:rStyle w:val="Appelnotedebasdep"/>
          <w:rFonts w:cs="Times New Roman"/>
          <w:vertAlign w:val="superscript"/>
        </w:rPr>
        <w:footnoteReference w:id="8"/>
      </w:r>
    </w:p>
    <w:p w14:paraId="6FBB7FCB" w14:textId="77777777" w:rsidR="00421220" w:rsidRDefault="00421220" w:rsidP="00421220">
      <w:pPr>
        <w:tabs>
          <w:tab w:val="left" w:pos="-1440"/>
        </w:tabs>
        <w:snapToGrid w:val="0"/>
        <w:jc w:val="both"/>
        <w:rPr>
          <w:rFonts w:cs="Times New Roman"/>
        </w:rPr>
      </w:pPr>
    </w:p>
    <w:p w14:paraId="07229446" w14:textId="77777777" w:rsidR="004A6545" w:rsidRPr="00421220" w:rsidRDefault="004A6545" w:rsidP="00421220">
      <w:pPr>
        <w:tabs>
          <w:tab w:val="left" w:pos="-1440"/>
        </w:tabs>
        <w:snapToGrid w:val="0"/>
        <w:jc w:val="both"/>
        <w:rPr>
          <w:rFonts w:cs="Times New Roman"/>
        </w:rPr>
      </w:pPr>
    </w:p>
    <w:p w14:paraId="549EE8EA" w14:textId="77777777" w:rsidR="00F36FD3" w:rsidRPr="00F36FD3" w:rsidRDefault="00F36FD3" w:rsidP="00F36FD3">
      <w:pPr>
        <w:pStyle w:val="Paragraphedeliste"/>
        <w:numPr>
          <w:ilvl w:val="0"/>
          <w:numId w:val="24"/>
        </w:numPr>
        <w:tabs>
          <w:tab w:val="left" w:pos="-1440"/>
        </w:tabs>
        <w:snapToGrid w:val="0"/>
        <w:jc w:val="both"/>
        <w:rPr>
          <w:rFonts w:cs="Times New Roman"/>
        </w:rPr>
      </w:pPr>
      <w:r>
        <w:rPr>
          <w:rFonts w:cs="Times New Roman"/>
        </w:rPr>
        <w:t>Le lien direct et déterminant</w:t>
      </w:r>
    </w:p>
    <w:p w14:paraId="6F5A4EA5" w14:textId="77777777" w:rsidR="00F36FD3" w:rsidRDefault="00F36FD3" w:rsidP="00DA4D7C">
      <w:pPr>
        <w:tabs>
          <w:tab w:val="left" w:pos="-1440"/>
        </w:tabs>
        <w:snapToGrid w:val="0"/>
        <w:jc w:val="both"/>
        <w:rPr>
          <w:rFonts w:cs="Times New Roman"/>
        </w:rPr>
      </w:pPr>
    </w:p>
    <w:p w14:paraId="7687F085" w14:textId="77777777" w:rsidR="001A46DA" w:rsidRDefault="001A46DA" w:rsidP="00F36FD3">
      <w:pPr>
        <w:tabs>
          <w:tab w:val="left" w:pos="1985"/>
        </w:tabs>
        <w:jc w:val="both"/>
        <w:rPr>
          <w:rFonts w:cs="Times New Roman"/>
        </w:rPr>
      </w:pPr>
      <w:r>
        <w:rPr>
          <w:rFonts w:cs="Times New Roman"/>
        </w:rPr>
        <w:t xml:space="preserve">La maladie hors liste doit trouver </w:t>
      </w:r>
      <w:r w:rsidR="00F36FD3" w:rsidRPr="00F36FD3">
        <w:rPr>
          <w:rFonts w:cs="Times New Roman"/>
        </w:rPr>
        <w:t>« sa cause déterminante et directe » dans l'exercice de la profession</w:t>
      </w:r>
      <w:r>
        <w:rPr>
          <w:rFonts w:cs="Times New Roman"/>
        </w:rPr>
        <w:t>.</w:t>
      </w:r>
    </w:p>
    <w:p w14:paraId="582323C3" w14:textId="77777777" w:rsidR="001A46DA" w:rsidRDefault="001A46DA" w:rsidP="00F36FD3">
      <w:pPr>
        <w:tabs>
          <w:tab w:val="left" w:pos="1985"/>
        </w:tabs>
        <w:jc w:val="both"/>
        <w:rPr>
          <w:rFonts w:cs="Times New Roman"/>
        </w:rPr>
      </w:pPr>
    </w:p>
    <w:p w14:paraId="571FDD02" w14:textId="77777777" w:rsidR="00F36FD3" w:rsidRDefault="001A46DA" w:rsidP="00F36FD3">
      <w:pPr>
        <w:tabs>
          <w:tab w:val="left" w:pos="1985"/>
        </w:tabs>
        <w:jc w:val="both"/>
        <w:rPr>
          <w:rFonts w:cs="Times New Roman"/>
          <w:i/>
        </w:rPr>
      </w:pPr>
      <w:r>
        <w:rPr>
          <w:rFonts w:cs="Times New Roman"/>
        </w:rPr>
        <w:t xml:space="preserve">Ainsi, </w:t>
      </w:r>
      <w:r w:rsidR="00F36FD3" w:rsidRPr="00F36FD3">
        <w:rPr>
          <w:rFonts w:cs="Times New Roman"/>
        </w:rPr>
        <w:t xml:space="preserve"> la Cour de cassation a </w:t>
      </w:r>
      <w:r>
        <w:rPr>
          <w:rFonts w:cs="Times New Roman"/>
        </w:rPr>
        <w:t>précisé, dans</w:t>
      </w:r>
      <w:r w:rsidR="00F36FD3" w:rsidRPr="00F36FD3">
        <w:rPr>
          <w:rFonts w:cs="Times New Roman"/>
        </w:rPr>
        <w:t xml:space="preserve"> un arrêt d</w:t>
      </w:r>
      <w:r>
        <w:rPr>
          <w:rFonts w:cs="Times New Roman"/>
        </w:rPr>
        <w:t>até d</w:t>
      </w:r>
      <w:r w:rsidR="00F36FD3" w:rsidRPr="00F36FD3">
        <w:rPr>
          <w:rFonts w:cs="Times New Roman"/>
        </w:rPr>
        <w:t xml:space="preserve">u </w:t>
      </w:r>
      <w:r w:rsidR="00F36FD3">
        <w:rPr>
          <w:rFonts w:cs="Times New Roman"/>
        </w:rPr>
        <w:t>2 février 1998</w:t>
      </w:r>
      <w:r w:rsidR="00F36FD3" w:rsidRPr="00F36FD3">
        <w:rPr>
          <w:rFonts w:cs="Times New Roman"/>
          <w:vertAlign w:val="superscript"/>
        </w:rPr>
        <w:footnoteReference w:id="9"/>
      </w:r>
      <w:r w:rsidR="00F36FD3" w:rsidRPr="00F36FD3">
        <w:rPr>
          <w:rFonts w:cs="Times New Roman"/>
        </w:rPr>
        <w:t> :</w:t>
      </w:r>
      <w:r w:rsidR="00F36FD3">
        <w:rPr>
          <w:rFonts w:cs="Times New Roman"/>
        </w:rPr>
        <w:t xml:space="preserve"> </w:t>
      </w:r>
      <w:r w:rsidR="00F36FD3" w:rsidRPr="00F36FD3">
        <w:rPr>
          <w:rFonts w:cs="Times New Roman"/>
        </w:rPr>
        <w:t xml:space="preserve">« </w:t>
      </w:r>
      <w:r w:rsidR="00F36FD3" w:rsidRPr="00F36FD3">
        <w:rPr>
          <w:rFonts w:cs="Times New Roman"/>
          <w:i/>
        </w:rPr>
        <w:t xml:space="preserve">Qu'il ne </w:t>
      </w:r>
      <w:r w:rsidR="00F36FD3" w:rsidRPr="00F36FD3">
        <w:rPr>
          <w:rFonts w:cs="Times New Roman"/>
          <w:i/>
        </w:rPr>
        <w:lastRenderedPageBreak/>
        <w:t>ressort pas des travaux parlementaires que, par les termes "déterminante et directe", l'article 30bis ait disposé que le risque professionnel doit être la cause exclusive ou principale de la maladie;</w:t>
      </w:r>
    </w:p>
    <w:p w14:paraId="7C6E8883" w14:textId="77777777" w:rsidR="00F36FD3" w:rsidRPr="00F36FD3" w:rsidRDefault="00F36FD3" w:rsidP="00F36FD3">
      <w:pPr>
        <w:tabs>
          <w:tab w:val="left" w:pos="1985"/>
        </w:tabs>
        <w:jc w:val="both"/>
        <w:rPr>
          <w:rFonts w:cs="Times New Roman"/>
          <w:i/>
        </w:rPr>
      </w:pPr>
    </w:p>
    <w:p w14:paraId="37781448" w14:textId="77777777" w:rsidR="00F36FD3" w:rsidRPr="00F36FD3" w:rsidRDefault="00F36FD3" w:rsidP="00F36FD3">
      <w:pPr>
        <w:tabs>
          <w:tab w:val="left" w:pos="1985"/>
        </w:tabs>
        <w:jc w:val="both"/>
        <w:rPr>
          <w:rFonts w:cs="Times New Roman"/>
        </w:rPr>
      </w:pPr>
      <w:r w:rsidRPr="00F36FD3">
        <w:rPr>
          <w:rFonts w:cs="Times New Roman"/>
          <w:i/>
        </w:rPr>
        <w:t>Que le lien de causalité prévu par l'article 30bis entre l'exercice de la profession et la maladie, ne requiert pas que l'exercice de la profession soit la cause exclusive de la maladie; que cet article n'exclut pas une prédisposition, ni n'impose que l'ayant droit doive établir l'importance de l'influence exercée par la prédisposition</w:t>
      </w:r>
      <w:r w:rsidRPr="00F36FD3">
        <w:rPr>
          <w:rFonts w:cs="Times New Roman"/>
        </w:rPr>
        <w:t xml:space="preserve"> ».</w:t>
      </w:r>
    </w:p>
    <w:p w14:paraId="14AEF064" w14:textId="77777777" w:rsidR="00F36FD3" w:rsidRPr="00F36FD3" w:rsidRDefault="00F36FD3" w:rsidP="00F36FD3">
      <w:pPr>
        <w:tabs>
          <w:tab w:val="left" w:pos="1985"/>
        </w:tabs>
        <w:ind w:firstLine="1985"/>
        <w:jc w:val="both"/>
        <w:rPr>
          <w:rFonts w:cs="Times New Roman"/>
        </w:rPr>
      </w:pPr>
    </w:p>
    <w:p w14:paraId="1648E4D4" w14:textId="77777777" w:rsidR="001A46DA" w:rsidRDefault="001A46DA" w:rsidP="001A46DA">
      <w:pPr>
        <w:tabs>
          <w:tab w:val="left" w:pos="1985"/>
        </w:tabs>
        <w:jc w:val="both"/>
        <w:rPr>
          <w:rFonts w:cs="Times New Roman"/>
        </w:rPr>
      </w:pPr>
      <w:r>
        <w:rPr>
          <w:rFonts w:cs="Times New Roman"/>
        </w:rPr>
        <w:t>Cependant, s</w:t>
      </w:r>
      <w:r w:rsidR="00F36FD3" w:rsidRPr="00F36FD3">
        <w:rPr>
          <w:rFonts w:cs="Times New Roman"/>
        </w:rPr>
        <w:t>i la cause doit être réelle et manifeste, elle ne doit pas être exclusive ni même principale</w:t>
      </w:r>
      <w:r w:rsidR="00F36FD3" w:rsidRPr="00F36FD3">
        <w:rPr>
          <w:rFonts w:cs="Times New Roman"/>
          <w:vertAlign w:val="superscript"/>
        </w:rPr>
        <w:footnoteReference w:id="10"/>
      </w:r>
      <w:r w:rsidR="00F36FD3" w:rsidRPr="00F36FD3">
        <w:rPr>
          <w:rFonts w:cs="Times New Roman"/>
        </w:rPr>
        <w:t xml:space="preserve">. </w:t>
      </w:r>
    </w:p>
    <w:p w14:paraId="057F4AD9" w14:textId="77777777" w:rsidR="001A46DA" w:rsidRDefault="001A46DA" w:rsidP="001A46DA">
      <w:pPr>
        <w:tabs>
          <w:tab w:val="left" w:pos="1985"/>
        </w:tabs>
        <w:jc w:val="both"/>
        <w:rPr>
          <w:rFonts w:cs="Times New Roman"/>
        </w:rPr>
      </w:pPr>
    </w:p>
    <w:p w14:paraId="7F671249" w14:textId="77777777" w:rsidR="001A46DA" w:rsidRDefault="001A46DA" w:rsidP="001A46DA">
      <w:pPr>
        <w:tabs>
          <w:tab w:val="left" w:pos="1985"/>
        </w:tabs>
        <w:jc w:val="both"/>
        <w:rPr>
          <w:rFonts w:cs="Times New Roman"/>
        </w:rPr>
      </w:pPr>
      <w:r>
        <w:rPr>
          <w:rFonts w:cs="Times New Roman"/>
        </w:rPr>
        <w:t xml:space="preserve">Ainsi, </w:t>
      </w:r>
      <w:r w:rsidR="00F36FD3" w:rsidRPr="00F36FD3">
        <w:rPr>
          <w:rFonts w:cs="Times New Roman"/>
        </w:rPr>
        <w:t xml:space="preserve">« </w:t>
      </w:r>
      <w:r w:rsidR="00F36FD3" w:rsidRPr="00F36FD3">
        <w:rPr>
          <w:rFonts w:cs="Times New Roman"/>
          <w:i/>
        </w:rPr>
        <w:t>Le lien causal doit être considéré comme existant dès lors que, sans le risque, la maladie ne serait pas survenue telle quelle</w:t>
      </w:r>
      <w:r w:rsidR="00F36FD3" w:rsidRPr="00F36FD3">
        <w:rPr>
          <w:rFonts w:cs="Times New Roman"/>
        </w:rPr>
        <w:t xml:space="preserve"> »</w:t>
      </w:r>
      <w:r w:rsidR="00F36FD3" w:rsidRPr="00F36FD3">
        <w:rPr>
          <w:rFonts w:cs="Times New Roman"/>
          <w:vertAlign w:val="superscript"/>
        </w:rPr>
        <w:footnoteReference w:id="11"/>
      </w:r>
      <w:r w:rsidR="00F36FD3" w:rsidRPr="00F36FD3">
        <w:rPr>
          <w:rFonts w:cs="Times New Roman"/>
        </w:rPr>
        <w:t xml:space="preserve">. </w:t>
      </w:r>
    </w:p>
    <w:p w14:paraId="30358836" w14:textId="77777777" w:rsidR="001A46DA" w:rsidRDefault="001A46DA" w:rsidP="001A46DA">
      <w:pPr>
        <w:tabs>
          <w:tab w:val="left" w:pos="1985"/>
        </w:tabs>
        <w:jc w:val="both"/>
        <w:rPr>
          <w:rFonts w:cs="Times New Roman"/>
        </w:rPr>
      </w:pPr>
    </w:p>
    <w:p w14:paraId="10B745AE" w14:textId="77777777" w:rsidR="00421220" w:rsidRDefault="00F36FD3" w:rsidP="001A46DA">
      <w:pPr>
        <w:tabs>
          <w:tab w:val="left" w:pos="1985"/>
        </w:tabs>
        <w:jc w:val="both"/>
        <w:rPr>
          <w:rFonts w:cs="Times New Roman"/>
        </w:rPr>
      </w:pPr>
      <w:r w:rsidRPr="00F36FD3">
        <w:rPr>
          <w:rFonts w:cs="Times New Roman"/>
        </w:rPr>
        <w:t>Cette conception correspond à la théorie de l'équivalence des conditions : « </w:t>
      </w:r>
      <w:r w:rsidRPr="00F36FD3">
        <w:rPr>
          <w:rFonts w:cs="Times New Roman"/>
          <w:i/>
        </w:rPr>
        <w:t>il y a causalité lorsque la maladie ne serait pas survenue ou aurait été moins grave sans l’exercice de la profession, peu importe que coexistent d’autres causes, étrangères à l’exercice de la profession</w:t>
      </w:r>
      <w:r w:rsidRPr="00F36FD3">
        <w:rPr>
          <w:rFonts w:cs="Times New Roman"/>
        </w:rPr>
        <w:t> »</w:t>
      </w:r>
      <w:r w:rsidRPr="00F36FD3">
        <w:rPr>
          <w:rFonts w:cs="Times New Roman"/>
          <w:vertAlign w:val="superscript"/>
        </w:rPr>
        <w:footnoteReference w:id="12"/>
      </w:r>
      <w:r w:rsidRPr="00F36FD3">
        <w:rPr>
          <w:rFonts w:cs="Times New Roman"/>
        </w:rPr>
        <w:t xml:space="preserve">.  </w:t>
      </w:r>
    </w:p>
    <w:p w14:paraId="61F8D151" w14:textId="77777777" w:rsidR="00421220" w:rsidRDefault="00421220" w:rsidP="001A46DA">
      <w:pPr>
        <w:tabs>
          <w:tab w:val="left" w:pos="1985"/>
        </w:tabs>
        <w:jc w:val="both"/>
        <w:rPr>
          <w:rFonts w:cs="Times New Roman"/>
        </w:rPr>
      </w:pPr>
    </w:p>
    <w:p w14:paraId="2182F79B" w14:textId="77777777" w:rsidR="00F36FD3" w:rsidRPr="00F36FD3" w:rsidRDefault="00F36FD3" w:rsidP="001A46DA">
      <w:pPr>
        <w:tabs>
          <w:tab w:val="left" w:pos="1985"/>
        </w:tabs>
        <w:jc w:val="both"/>
        <w:rPr>
          <w:rFonts w:cs="Times New Roman"/>
        </w:rPr>
      </w:pPr>
      <w:r w:rsidRPr="00F36FD3">
        <w:rPr>
          <w:rFonts w:cs="Times New Roman"/>
        </w:rPr>
        <w:t>Autrement dit, le lien causal est prouvé lorsque la victime prouve que l’exercice de la profession a, parmi d’autres facteurs, causé la maladie ou l’a aggravée</w:t>
      </w:r>
      <w:r w:rsidRPr="00F36FD3">
        <w:rPr>
          <w:rFonts w:cs="Times New Roman"/>
          <w:vertAlign w:val="superscript"/>
        </w:rPr>
        <w:footnoteReference w:id="13"/>
      </w:r>
      <w:r w:rsidRPr="00F36FD3">
        <w:rPr>
          <w:rFonts w:cs="Times New Roman"/>
        </w:rPr>
        <w:t>.</w:t>
      </w:r>
    </w:p>
    <w:p w14:paraId="3861AD5B" w14:textId="77777777" w:rsidR="00F36FD3" w:rsidRPr="00F36FD3" w:rsidRDefault="00F36FD3" w:rsidP="00F36FD3">
      <w:pPr>
        <w:tabs>
          <w:tab w:val="left" w:pos="1985"/>
        </w:tabs>
        <w:ind w:firstLine="1985"/>
        <w:jc w:val="both"/>
        <w:rPr>
          <w:rFonts w:cs="Times New Roman"/>
        </w:rPr>
      </w:pPr>
    </w:p>
    <w:p w14:paraId="164450CE" w14:textId="77777777" w:rsidR="00F36FD3" w:rsidRDefault="00F36FD3" w:rsidP="00421220">
      <w:pPr>
        <w:tabs>
          <w:tab w:val="left" w:pos="1985"/>
        </w:tabs>
        <w:jc w:val="both"/>
        <w:rPr>
          <w:rFonts w:cs="Times New Roman"/>
          <w:i/>
        </w:rPr>
      </w:pPr>
      <w:r w:rsidRPr="00421220">
        <w:rPr>
          <w:rFonts w:cs="Times New Roman"/>
          <w:bCs/>
        </w:rPr>
        <w:t xml:space="preserve">Dans un arrêt </w:t>
      </w:r>
      <w:r w:rsidR="00421220" w:rsidRPr="00421220">
        <w:rPr>
          <w:rFonts w:cs="Times New Roman"/>
          <w:bCs/>
        </w:rPr>
        <w:t>daté du 22 juin 2020</w:t>
      </w:r>
      <w:r w:rsidRPr="00421220">
        <w:rPr>
          <w:rFonts w:cs="Times New Roman"/>
          <w:bCs/>
          <w:vertAlign w:val="superscript"/>
        </w:rPr>
        <w:footnoteReference w:id="14"/>
      </w:r>
      <w:r w:rsidRPr="00421220">
        <w:rPr>
          <w:rFonts w:cs="Times New Roman"/>
          <w:bCs/>
        </w:rPr>
        <w:t>, la Cour de Cassation a confirmé ce raisonnement en jugeant que :</w:t>
      </w:r>
      <w:r w:rsidR="00421220">
        <w:rPr>
          <w:rFonts w:cs="Times New Roman"/>
          <w:bCs/>
        </w:rPr>
        <w:t xml:space="preserve"> </w:t>
      </w:r>
      <w:r w:rsidRPr="00F36FD3">
        <w:rPr>
          <w:rFonts w:cs="Times New Roman"/>
        </w:rPr>
        <w:t>« </w:t>
      </w:r>
      <w:r w:rsidRPr="00F36FD3">
        <w:rPr>
          <w:rFonts w:cs="Times New Roman"/>
          <w:i/>
        </w:rPr>
        <w:t>Il ne ressort pas de ces travaux préparatoires que, par les termes « déterminante et directe », l’article 30bis dispose que le risque professionnel doit être la cause exclusive ou prépondérante de la maladie.</w:t>
      </w:r>
    </w:p>
    <w:p w14:paraId="55DCB305" w14:textId="77777777" w:rsidR="00421220" w:rsidRPr="00F36FD3" w:rsidRDefault="00421220" w:rsidP="00421220">
      <w:pPr>
        <w:tabs>
          <w:tab w:val="left" w:pos="1985"/>
        </w:tabs>
        <w:jc w:val="both"/>
        <w:rPr>
          <w:rFonts w:cs="Times New Roman"/>
          <w:b/>
          <w:i/>
        </w:rPr>
      </w:pPr>
    </w:p>
    <w:p w14:paraId="0ECCABE6" w14:textId="77777777" w:rsidR="00F36FD3" w:rsidRDefault="00F36FD3" w:rsidP="00421220">
      <w:pPr>
        <w:tabs>
          <w:tab w:val="left" w:pos="1985"/>
        </w:tabs>
        <w:jc w:val="both"/>
        <w:rPr>
          <w:rFonts w:cs="Times New Roman"/>
          <w:i/>
        </w:rPr>
      </w:pPr>
      <w:r w:rsidRPr="00F36FD3">
        <w:rPr>
          <w:rFonts w:cs="Times New Roman"/>
          <w:i/>
        </w:rPr>
        <w:t xml:space="preserve">Le lien de causalité prévu par l’article 30bis entre l’exercice de la profession et la maladie ne requiert pas que l’exercice de la profession soit la cause exclusive ou prépondérante de la maladie ; cet article n’exclut pas une prédisposition et n’impose pas que la victime ou l’ayant droit établisse l’importance de l’influence exercée par la prédisposition, notamment que cette influence est moindre que celle de l’exercice de la profession. </w:t>
      </w:r>
    </w:p>
    <w:p w14:paraId="5CEB4B4E" w14:textId="77777777" w:rsidR="00421220" w:rsidRPr="00F36FD3" w:rsidRDefault="00421220" w:rsidP="00421220">
      <w:pPr>
        <w:tabs>
          <w:tab w:val="left" w:pos="1985"/>
        </w:tabs>
        <w:jc w:val="both"/>
        <w:rPr>
          <w:rFonts w:cs="Times New Roman"/>
          <w:b/>
          <w:i/>
        </w:rPr>
      </w:pPr>
    </w:p>
    <w:p w14:paraId="49B4C461" w14:textId="77777777" w:rsidR="00F36FD3" w:rsidRPr="00F36FD3" w:rsidRDefault="00F36FD3" w:rsidP="00421220">
      <w:pPr>
        <w:tabs>
          <w:tab w:val="left" w:pos="1985"/>
        </w:tabs>
        <w:jc w:val="both"/>
        <w:rPr>
          <w:rFonts w:cs="Times New Roman"/>
          <w:i/>
        </w:rPr>
      </w:pPr>
      <w:r w:rsidRPr="00F36FD3">
        <w:rPr>
          <w:rFonts w:cs="Times New Roman"/>
          <w:i/>
        </w:rPr>
        <w:t>L’arrêt considère que « le lien causal doit être considéré comme existant dès lors que, sans le risque professionnel, la maladie ne serait pas survenue telle quelle » et que, « si l’exposition du défendeur au risque professionnel a avec certitude aggravé la maladie, le lien causal entre l’exercice de la profession et la maladie est établi », même si l’« impact sur l’apparition ou le développement de la maladie est modeste », que, même s’« il est possible mais pas indispensable qu’un médecin-expert estime devoir éliminer certains facteurs de la maladie pour assoir sa conviction que l’exposition</w:t>
      </w:r>
      <w:r w:rsidR="00F11924">
        <w:rPr>
          <w:rFonts w:cs="Times New Roman"/>
          <w:i/>
        </w:rPr>
        <w:t xml:space="preserve"> </w:t>
      </w:r>
      <w:r w:rsidRPr="00F36FD3">
        <w:rPr>
          <w:rFonts w:cs="Times New Roman"/>
          <w:i/>
        </w:rPr>
        <w:t xml:space="preserve">au risque professionnel est en lien causal déterminant et direct avec la maladie », « une fois que l’expert et après lui le juge judiciaire estiment que le lien causal déterminant et direct entre l’exposition au risque professionnel et la maladie est prouvé, il n’est pas nécessaire d’examiner de manière détaillée tous les autres facteurs susceptibles d’avoir une incidence sur </w:t>
      </w:r>
      <w:r w:rsidRPr="00F36FD3">
        <w:rPr>
          <w:rFonts w:cs="Times New Roman"/>
          <w:i/>
        </w:rPr>
        <w:lastRenderedPageBreak/>
        <w:t>l’apparition et le développement de la maladie professionnelle » et il conclut que « le lien de causalité qui existerait entre l’accident du travail dont le défendeur a été victime le 11 mars 2002 » n’est pas pertinent pour déterminer « si la maladie trouve sa cause déterminante et directe dans l’exercice de la profession exercée ».</w:t>
      </w:r>
    </w:p>
    <w:p w14:paraId="36DE9D4C" w14:textId="77777777" w:rsidR="00421220" w:rsidRDefault="00F36FD3" w:rsidP="00F36FD3">
      <w:pPr>
        <w:tabs>
          <w:tab w:val="left" w:pos="1985"/>
        </w:tabs>
        <w:ind w:firstLine="1985"/>
        <w:jc w:val="both"/>
        <w:rPr>
          <w:rFonts w:cs="Times New Roman"/>
          <w:i/>
        </w:rPr>
      </w:pPr>
      <w:r w:rsidRPr="00F36FD3">
        <w:rPr>
          <w:rFonts w:cs="Times New Roman"/>
          <w:i/>
        </w:rPr>
        <w:tab/>
      </w:r>
    </w:p>
    <w:p w14:paraId="15454135" w14:textId="77777777" w:rsidR="00F36FD3" w:rsidRPr="00F36FD3" w:rsidRDefault="00F36FD3" w:rsidP="00421220">
      <w:pPr>
        <w:tabs>
          <w:tab w:val="left" w:pos="1985"/>
        </w:tabs>
        <w:jc w:val="both"/>
        <w:rPr>
          <w:rFonts w:cs="Times New Roman"/>
        </w:rPr>
      </w:pPr>
      <w:r w:rsidRPr="00F36FD3">
        <w:rPr>
          <w:rFonts w:cs="Times New Roman"/>
          <w:i/>
        </w:rPr>
        <w:t>Par ces considérations, l’arrêt fait une exacte application de l’article 30bis des lois coordonnées.</w:t>
      </w:r>
      <w:r w:rsidRPr="00F36FD3">
        <w:rPr>
          <w:rFonts w:cs="Times New Roman"/>
        </w:rPr>
        <w:t> »</w:t>
      </w:r>
    </w:p>
    <w:p w14:paraId="1CE34481" w14:textId="77777777" w:rsidR="00F36FD3" w:rsidRDefault="00F36FD3" w:rsidP="00DA4D7C">
      <w:pPr>
        <w:tabs>
          <w:tab w:val="left" w:pos="-1440"/>
        </w:tabs>
        <w:snapToGrid w:val="0"/>
        <w:jc w:val="both"/>
        <w:rPr>
          <w:rFonts w:cs="Times New Roman"/>
        </w:rPr>
      </w:pPr>
    </w:p>
    <w:p w14:paraId="55C7CFD2" w14:textId="77777777" w:rsidR="00DA4D7C" w:rsidRPr="00662527" w:rsidRDefault="00421220" w:rsidP="00DA4D7C">
      <w:pPr>
        <w:tabs>
          <w:tab w:val="left" w:pos="-1440"/>
        </w:tabs>
        <w:snapToGrid w:val="0"/>
        <w:jc w:val="both"/>
        <w:rPr>
          <w:rFonts w:cs="Times New Roman"/>
          <w:i/>
        </w:rPr>
      </w:pPr>
      <w:r>
        <w:rPr>
          <w:rFonts w:cs="Times New Roman"/>
        </w:rPr>
        <w:t>En conclusion</w:t>
      </w:r>
      <w:r w:rsidR="00DA4D7C" w:rsidRPr="00662527">
        <w:rPr>
          <w:rFonts w:cs="Times New Roman"/>
        </w:rPr>
        <w:t xml:space="preserve">, </w:t>
      </w:r>
      <w:r w:rsidR="00DA4D7C" w:rsidRPr="00662527">
        <w:rPr>
          <w:rFonts w:cs="Times New Roman"/>
          <w:i/>
        </w:rPr>
        <w:t>« ceci revient à s’interroger, au vu de l’exigence légale d’un lien causal déterminant et direct, sur la question de savoir si, dans l’hypothèse où cette profession n’avait pas été exercée par le malade, dans les conditions concrètes dans lesquelles il a exécuté ses prestations de travail, celui-ci aurait quand même présenté la maladie incriminée.(</w:t>
      </w:r>
      <w:r w:rsidR="00DA4D7C" w:rsidRPr="00662527">
        <w:rPr>
          <w:rFonts w:cs="Times New Roman"/>
          <w:i/>
        </w:rPr>
        <w:footnoteReference w:id="15"/>
      </w:r>
      <w:r w:rsidR="00DA4D7C" w:rsidRPr="00662527">
        <w:rPr>
          <w:rFonts w:cs="Times New Roman"/>
          <w:i/>
        </w:rPr>
        <w:t>) »</w:t>
      </w:r>
    </w:p>
    <w:p w14:paraId="6D7C85A6" w14:textId="77777777" w:rsidR="00DA4D7C" w:rsidRPr="00662527" w:rsidRDefault="00DA4D7C" w:rsidP="00DA4D7C">
      <w:pPr>
        <w:tabs>
          <w:tab w:val="left" w:pos="-1440"/>
        </w:tabs>
        <w:snapToGrid w:val="0"/>
        <w:jc w:val="both"/>
        <w:rPr>
          <w:rFonts w:cs="Times New Roman"/>
        </w:rPr>
      </w:pPr>
    </w:p>
    <w:p w14:paraId="5D2033C1" w14:textId="77777777" w:rsidR="00DA4D7C" w:rsidRPr="00662527" w:rsidRDefault="00421220" w:rsidP="00DA4D7C">
      <w:pPr>
        <w:tabs>
          <w:tab w:val="left" w:pos="-1440"/>
        </w:tabs>
        <w:snapToGrid w:val="0"/>
        <w:jc w:val="both"/>
        <w:rPr>
          <w:rFonts w:cs="Times New Roman"/>
        </w:rPr>
      </w:pPr>
      <w:r>
        <w:rPr>
          <w:rFonts w:cs="Times New Roman"/>
        </w:rPr>
        <w:t>Aussi</w:t>
      </w:r>
      <w:r w:rsidR="00DA4D7C" w:rsidRPr="00662527">
        <w:rPr>
          <w:rFonts w:cs="Times New Roman"/>
        </w:rPr>
        <w:t>, l’expert est invité à motiver ses conclusions sur ces bases en tenant compte de tout facteur autre que professionnel tel que l’âge, la pratique d’un sport, les antécédents pathologiques ou traumatiques, le suivi d’un traitement médicamenteux, leurs éventuels effets secondaires,...</w:t>
      </w:r>
    </w:p>
    <w:p w14:paraId="376E5618" w14:textId="77777777" w:rsidR="00DA4D7C" w:rsidRPr="00662527" w:rsidRDefault="00DA4D7C" w:rsidP="00DA4D7C">
      <w:pPr>
        <w:tabs>
          <w:tab w:val="left" w:pos="-1440"/>
        </w:tabs>
        <w:snapToGrid w:val="0"/>
        <w:jc w:val="both"/>
        <w:rPr>
          <w:rFonts w:cs="Times New Roman"/>
        </w:rPr>
      </w:pPr>
    </w:p>
    <w:p w14:paraId="1EE9AE89" w14:textId="77777777" w:rsidR="00DA4D7C" w:rsidRPr="00662527" w:rsidRDefault="00DA4D7C" w:rsidP="00DA4D7C">
      <w:pPr>
        <w:tabs>
          <w:tab w:val="left" w:pos="-1440"/>
        </w:tabs>
        <w:snapToGrid w:val="0"/>
        <w:jc w:val="both"/>
        <w:rPr>
          <w:rFonts w:cs="Times New Roman"/>
        </w:rPr>
      </w:pPr>
      <w:r w:rsidRPr="00662527">
        <w:rPr>
          <w:rFonts w:cs="Times New Roman"/>
        </w:rPr>
        <w:t>La victime ne bénéficie d’aucune présomption légale.</w:t>
      </w:r>
    </w:p>
    <w:p w14:paraId="05D9931E" w14:textId="77777777" w:rsidR="00DA4D7C" w:rsidRDefault="00DA4D7C" w:rsidP="00DA4D7C">
      <w:pPr>
        <w:tabs>
          <w:tab w:val="left" w:pos="-1440"/>
        </w:tabs>
        <w:snapToGrid w:val="0"/>
        <w:jc w:val="both"/>
        <w:rPr>
          <w:rFonts w:cs="Times New Roman"/>
        </w:rPr>
      </w:pPr>
    </w:p>
    <w:p w14:paraId="06ED951B" w14:textId="77777777" w:rsidR="00421220" w:rsidRDefault="00421220" w:rsidP="00DA4D7C">
      <w:pPr>
        <w:tabs>
          <w:tab w:val="left" w:pos="-1440"/>
        </w:tabs>
        <w:snapToGrid w:val="0"/>
        <w:jc w:val="both"/>
        <w:rPr>
          <w:rFonts w:cs="Times New Roman"/>
        </w:rPr>
      </w:pPr>
    </w:p>
    <w:p w14:paraId="637DF0EB" w14:textId="77777777" w:rsidR="00DA4D7C" w:rsidRPr="00662527" w:rsidRDefault="007601EA" w:rsidP="00DA4D7C">
      <w:pPr>
        <w:numPr>
          <w:ilvl w:val="0"/>
          <w:numId w:val="20"/>
        </w:numPr>
        <w:tabs>
          <w:tab w:val="left" w:pos="-1440"/>
        </w:tabs>
        <w:snapToGrid w:val="0"/>
        <w:jc w:val="both"/>
        <w:rPr>
          <w:rFonts w:cs="Times New Roman"/>
          <w:u w:val="single"/>
          <w:lang w:val="fr-FR"/>
        </w:rPr>
      </w:pPr>
      <w:r>
        <w:rPr>
          <w:rFonts w:cs="Times New Roman"/>
          <w:u w:val="single"/>
          <w:lang w:val="fr-FR"/>
        </w:rPr>
        <w:t>Les problèmes lombaires  - relevé de jurisprudence</w:t>
      </w:r>
      <w:r w:rsidR="00DA4D7C" w:rsidRPr="00662527">
        <w:rPr>
          <w:rFonts w:cs="Times New Roman"/>
          <w:u w:val="single"/>
          <w:lang w:val="fr-FR"/>
        </w:rPr>
        <w:t>.</w:t>
      </w:r>
    </w:p>
    <w:p w14:paraId="7190457A" w14:textId="77777777" w:rsidR="00DA4D7C" w:rsidRPr="00662527" w:rsidRDefault="00DA4D7C" w:rsidP="00DA4D7C">
      <w:pPr>
        <w:tabs>
          <w:tab w:val="left" w:pos="-1440"/>
        </w:tabs>
        <w:snapToGrid w:val="0"/>
        <w:jc w:val="both"/>
        <w:rPr>
          <w:rFonts w:cs="Times New Roman"/>
          <w:i/>
          <w:u w:val="single"/>
          <w:lang w:val="fr-FR"/>
        </w:rPr>
      </w:pPr>
    </w:p>
    <w:p w14:paraId="46C65EEB" w14:textId="77777777" w:rsidR="00DA4D7C" w:rsidRPr="00DF47A7" w:rsidRDefault="00DA4D7C" w:rsidP="00DA4D7C">
      <w:pPr>
        <w:tabs>
          <w:tab w:val="left" w:pos="-1440"/>
        </w:tabs>
        <w:snapToGrid w:val="0"/>
        <w:jc w:val="both"/>
        <w:rPr>
          <w:rFonts w:cs="Times New Roman"/>
          <w:i/>
          <w:lang w:val="fr-FR"/>
        </w:rPr>
      </w:pPr>
    </w:p>
    <w:p w14:paraId="4334321D" w14:textId="77777777" w:rsidR="00DA4D7C" w:rsidRPr="007601EA" w:rsidRDefault="007601EA" w:rsidP="00DA4D7C">
      <w:pPr>
        <w:tabs>
          <w:tab w:val="left" w:pos="-1440"/>
        </w:tabs>
        <w:snapToGrid w:val="0"/>
        <w:jc w:val="both"/>
        <w:rPr>
          <w:rFonts w:cs="Times New Roman"/>
          <w:vertAlign w:val="superscript"/>
          <w:lang w:val="fr-FR"/>
        </w:rPr>
      </w:pPr>
      <w:r>
        <w:rPr>
          <w:rFonts w:cs="Times New Roman"/>
          <w:lang w:val="fr-FR"/>
        </w:rPr>
        <w:t>La Cour du travail de Liège a considéré</w:t>
      </w:r>
      <w:r w:rsidR="00DA4D7C" w:rsidRPr="00DF47A7">
        <w:rPr>
          <w:rFonts w:cs="Times New Roman"/>
          <w:lang w:val="fr-FR"/>
        </w:rPr>
        <w:t xml:space="preserve"> que « </w:t>
      </w:r>
      <w:r w:rsidR="00DA4D7C" w:rsidRPr="00DF47A7">
        <w:rPr>
          <w:rFonts w:cs="Times New Roman"/>
          <w:i/>
          <w:lang w:val="fr-FR"/>
        </w:rPr>
        <w:t>le fait que l'affection lombaire est multifactorielle, qu'elle frappe une partie importante de la population âgée de 40 ans et une grande majorité de la population après 60 ans, ne signifie pas que, dans le groupe des personnes exposées, la maladie lombaire ne saurait fatalement pas être la cause prépondérante de la maladie vu que cette maladie frappe une large part de la population.  En effet, ce qu'il faut examiner dans le cadre de l'exposition au risque en l'espèce, c'est non pas la maladie lombaire in abstracto, mais bien la nature particulière de cette affection lombaire et son importance et s'assurer qu'une telle affection lombaire présentant une telle ampleur est la cause prépondérante de la maladie dans le groupe des personnes exposées. »</w:t>
      </w:r>
      <w:r w:rsidR="00DA4D7C" w:rsidRPr="00DF47A7">
        <w:rPr>
          <w:rFonts w:cs="Times New Roman"/>
          <w:lang w:val="fr-FR"/>
        </w:rPr>
        <w:t xml:space="preserve"> </w:t>
      </w:r>
      <w:r w:rsidR="00DA4D7C" w:rsidRPr="007601EA">
        <w:rPr>
          <w:rFonts w:cs="Times New Roman"/>
          <w:vertAlign w:val="superscript"/>
          <w:lang w:val="fr-FR"/>
        </w:rPr>
        <w:footnoteReference w:id="16"/>
      </w:r>
    </w:p>
    <w:p w14:paraId="44736D15" w14:textId="77777777" w:rsidR="00576DFE" w:rsidRDefault="00576DFE" w:rsidP="00576DFE">
      <w:pPr>
        <w:spacing w:line="276" w:lineRule="auto"/>
        <w:jc w:val="both"/>
        <w:rPr>
          <w:rFonts w:cs="Times New Roman"/>
        </w:rPr>
      </w:pPr>
    </w:p>
    <w:p w14:paraId="1B2CA3B6" w14:textId="77777777" w:rsidR="00DA4D7C" w:rsidRPr="0034235E" w:rsidRDefault="007601EA" w:rsidP="00DA4D7C">
      <w:pPr>
        <w:spacing w:before="240" w:line="276" w:lineRule="auto"/>
        <w:jc w:val="both"/>
        <w:rPr>
          <w:rFonts w:cs="Times New Roman"/>
          <w:i/>
        </w:rPr>
      </w:pPr>
      <w:r>
        <w:rPr>
          <w:rFonts w:cs="Times New Roman"/>
        </w:rPr>
        <w:t xml:space="preserve">De même, la Cour du travail de Liège </w:t>
      </w:r>
      <w:r w:rsidR="00DA4D7C" w:rsidRPr="007601EA">
        <w:rPr>
          <w:rStyle w:val="Appelnotedebasdep"/>
          <w:rFonts w:cs="Times New Roman"/>
          <w:vertAlign w:val="superscript"/>
        </w:rPr>
        <w:footnoteReference w:id="17"/>
      </w:r>
      <w:r w:rsidR="00DA4D7C">
        <w:rPr>
          <w:rFonts w:cs="Times New Roman"/>
        </w:rPr>
        <w:t xml:space="preserve"> a </w:t>
      </w:r>
      <w:r>
        <w:rPr>
          <w:rFonts w:cs="Times New Roman"/>
        </w:rPr>
        <w:t>décidé</w:t>
      </w:r>
      <w:r w:rsidR="00DA4D7C">
        <w:rPr>
          <w:rFonts w:cs="Times New Roman"/>
        </w:rPr>
        <w:t xml:space="preserve">, dans son arrêt du 30 août 2016, dans le cadre d’une </w:t>
      </w:r>
      <w:r w:rsidR="00DA4D7C" w:rsidRPr="00E5527F">
        <w:rPr>
          <w:rFonts w:cs="Times New Roman"/>
          <w:u w:val="single"/>
        </w:rPr>
        <w:t>demande en aggravation</w:t>
      </w:r>
      <w:r w:rsidR="00DA4D7C">
        <w:rPr>
          <w:rFonts w:cs="Times New Roman"/>
        </w:rPr>
        <w:t xml:space="preserve"> introduite dans le cadre du système hors liste, d’une maladie professionnelle reprise i</w:t>
      </w:r>
      <w:r w:rsidR="00F11924">
        <w:rPr>
          <w:rFonts w:cs="Times New Roman"/>
        </w:rPr>
        <w:t>nitialement sous le code 1.605.</w:t>
      </w:r>
      <w:r w:rsidR="00DA4D7C">
        <w:rPr>
          <w:rFonts w:cs="Times New Roman"/>
        </w:rPr>
        <w:t xml:space="preserve">12 que  </w:t>
      </w:r>
      <w:r w:rsidR="00DA4D7C">
        <w:rPr>
          <w:rFonts w:cs="Times New Roman"/>
          <w:i/>
        </w:rPr>
        <w:t>« </w:t>
      </w:r>
      <w:r w:rsidR="00DA4D7C" w:rsidRPr="0034235E">
        <w:rPr>
          <w:rFonts w:cs="Times New Roman"/>
          <w:i/>
        </w:rPr>
        <w:t xml:space="preserve">L’exposition au risque est une donnée largement factuelle. Que la pathologie subie par M. H. soit codifiée ou non, que le nom de code évolue ou non, cela ne change rien à la circonstance qu’ayant conduit des camions sans suspension suffisante durant des années (outre l’utilisation ponctuelle d’outils vibrants), il a été soumis à des vibrations mécaniques importantes. Enfin, quand bien même la méthode MDD aurait été utilisée (ce que le dossier ne permet pas d’établir), la Cour ne parvient pas à percevoir la pertinence de cet argument. </w:t>
      </w:r>
    </w:p>
    <w:p w14:paraId="1A9131DF" w14:textId="77777777" w:rsidR="00DA4D7C" w:rsidRPr="0034235E" w:rsidRDefault="00DA4D7C" w:rsidP="00DA4D7C">
      <w:pPr>
        <w:spacing w:before="240" w:line="276" w:lineRule="auto"/>
        <w:jc w:val="both"/>
        <w:rPr>
          <w:rFonts w:cs="Times New Roman"/>
          <w:i/>
        </w:rPr>
      </w:pPr>
      <w:r w:rsidRPr="0034235E">
        <w:rPr>
          <w:rFonts w:cs="Times New Roman"/>
          <w:i/>
        </w:rPr>
        <w:lastRenderedPageBreak/>
        <w:t xml:space="preserve">Le FMP a reconnu dans le chef de M. H. une exposition aux vibrations mécaniques et une maladie </w:t>
      </w:r>
      <w:proofErr w:type="spellStart"/>
      <w:r w:rsidRPr="0034235E">
        <w:rPr>
          <w:rFonts w:cs="Times New Roman"/>
          <w:i/>
        </w:rPr>
        <w:t>ostéo-articulaire</w:t>
      </w:r>
      <w:proofErr w:type="spellEnd"/>
      <w:r w:rsidRPr="0034235E">
        <w:rPr>
          <w:rFonts w:cs="Times New Roman"/>
          <w:i/>
        </w:rPr>
        <w:t xml:space="preserve"> de la région lombaire provoquée par les vibrations mécaniques. M. H. a certes cessé de travailler en 2008, mais cela ne modifie rien à la circonstance qu’il a été soumis à ce risque par le passé et que ces vibrations sont de nature à provoquer la maladie reconnue mais aussi à l’aggraver après la fin de l’exposition. Sous réserve d’une disposition légale ou réglementaire contraire, exiger une persistance de l’exposition reviendrait à nier le caractère évolutif de nombreuses pathologies qui peuvent continuer à se développer parce qu’un processus délétère est lancé, même lorsque le facteur déclencheur ou aggravant a disparu. Ainsi, pour prendre un exemple certes quelque peu caricatural, il est de commune renommée que les cellules cancéreuses continuent à apparaître ou à se développer même lorsque l’exposition à la radioactivité a cessé.</w:t>
      </w:r>
    </w:p>
    <w:p w14:paraId="4F32E6B1" w14:textId="77777777" w:rsidR="00DA4D7C" w:rsidRPr="0034235E" w:rsidRDefault="00DA4D7C" w:rsidP="00DA4D7C">
      <w:pPr>
        <w:spacing w:before="240" w:line="276" w:lineRule="auto"/>
        <w:jc w:val="both"/>
        <w:rPr>
          <w:rFonts w:cs="Times New Roman"/>
          <w:i/>
        </w:rPr>
      </w:pPr>
      <w:r w:rsidRPr="0034235E">
        <w:rPr>
          <w:rFonts w:cs="Times New Roman"/>
          <w:i/>
        </w:rPr>
        <w:t>Le FMP ne soutient pas que la reconnaissance de l’exposition originaire serait erronée et devrait être rétractée de ce chef. Parmi les arguments qui lui sont soumis, la Cour n’en aperçoit aucun de nature à remettre en cause à l’heure actuelle la réalité de l’exposition reconnue antérieurement par le FMP. Il en va d’autant plus ainsi que l’exclusion d’une maladie de la liste dressée par l’arrêté royal du 8 mars 1969 n’a, en tant que telle, aucune influence sur l’exposition au risque.</w:t>
      </w:r>
    </w:p>
    <w:p w14:paraId="6EC8F45B" w14:textId="77777777" w:rsidR="00DA4D7C" w:rsidRPr="0067154C" w:rsidRDefault="00DA4D7C" w:rsidP="00DA4D7C">
      <w:pPr>
        <w:spacing w:before="240" w:line="276" w:lineRule="auto"/>
        <w:jc w:val="both"/>
        <w:rPr>
          <w:rFonts w:cs="Times New Roman"/>
        </w:rPr>
      </w:pPr>
      <w:r w:rsidRPr="0067154C">
        <w:rPr>
          <w:rFonts w:cs="Times New Roman"/>
          <w:i/>
        </w:rPr>
        <w:t>C’est à juste titre que l’expert a estimé que l’exposition au risque était établie. »</w:t>
      </w:r>
    </w:p>
    <w:p w14:paraId="2E534204" w14:textId="77777777" w:rsidR="00DA4D7C" w:rsidRPr="0067154C" w:rsidRDefault="007601EA" w:rsidP="00DA4D7C">
      <w:pPr>
        <w:spacing w:before="240" w:line="276" w:lineRule="auto"/>
        <w:jc w:val="both"/>
        <w:rPr>
          <w:rFonts w:cs="Times New Roman"/>
          <w:i/>
        </w:rPr>
      </w:pPr>
      <w:r w:rsidRPr="0067154C">
        <w:rPr>
          <w:rFonts w:cs="Times New Roman"/>
        </w:rPr>
        <w:t>Il fut également jugé dans un</w:t>
      </w:r>
      <w:r w:rsidR="00DA4D7C" w:rsidRPr="0067154C">
        <w:rPr>
          <w:rFonts w:cs="Times New Roman"/>
        </w:rPr>
        <w:t xml:space="preserve"> arrêt rendu le 6 mai 2016</w:t>
      </w:r>
      <w:r w:rsidR="00DA4D7C" w:rsidRPr="0067154C">
        <w:rPr>
          <w:rStyle w:val="Appelnotedebasdep"/>
          <w:rFonts w:cs="Times New Roman"/>
          <w:vertAlign w:val="superscript"/>
        </w:rPr>
        <w:footnoteReference w:id="18"/>
      </w:r>
      <w:r w:rsidR="00DA4D7C" w:rsidRPr="0067154C">
        <w:rPr>
          <w:rFonts w:cs="Times New Roman"/>
        </w:rPr>
        <w:t xml:space="preserve"> que « </w:t>
      </w:r>
      <w:r w:rsidR="00DA4D7C" w:rsidRPr="0067154C">
        <w:rPr>
          <w:rFonts w:cs="Times New Roman"/>
          <w:i/>
        </w:rPr>
        <w:t xml:space="preserve">8. C'est toutefois sans fondement que, dans le présent litige, le FMP soutient qu'il appartenait à l'expert – s'il estimait qu'il existait un risque professionnel de contracter une arthrose lombaire sans répercussion radiculaire du fait d'être soumis à des vibrations mécaniques dans le cadre de l'activité de pontier – d'examiner à nouveau, lorsqu'il fut saisi de la mission relative à l'aggravation alléguée de la maladie professionnelle antérieurement reconnue, si le critère d'exposition professionnelle au risque de cette maladie était dûment rencontré dans le chef de la victime.                                                      </w:t>
      </w:r>
    </w:p>
    <w:p w14:paraId="4B187024" w14:textId="77777777" w:rsidR="00DA4D7C" w:rsidRPr="0067154C" w:rsidRDefault="00DA4D7C" w:rsidP="00DA4D7C">
      <w:pPr>
        <w:spacing w:before="240" w:line="276" w:lineRule="auto"/>
        <w:jc w:val="both"/>
        <w:rPr>
          <w:rFonts w:cs="Times New Roman"/>
          <w:i/>
        </w:rPr>
      </w:pPr>
      <w:r w:rsidRPr="0067154C">
        <w:rPr>
          <w:rFonts w:cs="Times New Roman"/>
          <w:i/>
        </w:rPr>
        <w:t xml:space="preserve">9. En effet, cette exposition professionnelle a déjà fait l'objet de la démonstration requise, lors de la reconnaissance, sur la base du code 1605.12 de la liste alors en vigueur, de la maladie dorso-lombaire dont est atteint l'intéressé, par une décision judiciaire devenue entre-temps définitive. </w:t>
      </w:r>
    </w:p>
    <w:p w14:paraId="0392E302" w14:textId="77777777" w:rsidR="00DA4D7C" w:rsidRPr="0067154C" w:rsidRDefault="00DA4D7C" w:rsidP="00DA4D7C">
      <w:pPr>
        <w:spacing w:before="240" w:line="276" w:lineRule="auto"/>
        <w:jc w:val="both"/>
        <w:rPr>
          <w:rFonts w:cs="Times New Roman"/>
          <w:i/>
        </w:rPr>
      </w:pPr>
      <w:r w:rsidRPr="0067154C">
        <w:rPr>
          <w:rFonts w:cs="Times New Roman"/>
          <w:i/>
        </w:rPr>
        <w:t>9. 1. Dans un cas d'espèce analogue, la 2ème chambre de notre cour a, dans un arrêt du 3 novembre 2015 (7 C. trav. Liège, 2</w:t>
      </w:r>
      <w:r w:rsidRPr="0067154C">
        <w:rPr>
          <w:rFonts w:cs="Times New Roman"/>
          <w:i/>
          <w:vertAlign w:val="superscript"/>
        </w:rPr>
        <w:t>ième</w:t>
      </w:r>
      <w:r w:rsidRPr="0067154C">
        <w:rPr>
          <w:rFonts w:cs="Times New Roman"/>
          <w:i/>
        </w:rPr>
        <w:t xml:space="preserve"> ch., RG n° 2014/AL/146, produit en copie par le conseil de l’intimé), considéré que la décision administrative par laquelle le FMP avait initialement reconnu une maladie professionnelle indemnisable sous le code 1605.12 revêtait un caractère définitif qui ne pouvait être ignoré. </w:t>
      </w:r>
    </w:p>
    <w:p w14:paraId="351B739B" w14:textId="77777777" w:rsidR="00DA4D7C" w:rsidRPr="0067154C" w:rsidRDefault="00DA4D7C" w:rsidP="00DA4D7C">
      <w:pPr>
        <w:spacing w:before="240" w:line="276" w:lineRule="auto"/>
        <w:jc w:val="both"/>
        <w:rPr>
          <w:rFonts w:cs="Times New Roman"/>
          <w:i/>
        </w:rPr>
      </w:pPr>
      <w:r w:rsidRPr="0067154C">
        <w:rPr>
          <w:rFonts w:cs="Times New Roman"/>
          <w:i/>
        </w:rPr>
        <w:t xml:space="preserve">9. 2. Il en va a fortiori de même lorsque, comme en l'espèce, la reconnaissance de la maladie professionnelle a fait l'objet d'une décision judiciaire coulée en force de chose jugée.  </w:t>
      </w:r>
    </w:p>
    <w:p w14:paraId="792EDDC4" w14:textId="77777777" w:rsidR="00DA4D7C" w:rsidRPr="0067154C" w:rsidRDefault="00DA4D7C" w:rsidP="00DA4D7C">
      <w:pPr>
        <w:spacing w:before="240" w:line="276" w:lineRule="auto"/>
        <w:jc w:val="both"/>
        <w:rPr>
          <w:rFonts w:cs="Times New Roman"/>
        </w:rPr>
      </w:pPr>
      <w:r w:rsidRPr="0067154C">
        <w:rPr>
          <w:rFonts w:cs="Times New Roman"/>
          <w:i/>
        </w:rPr>
        <w:lastRenderedPageBreak/>
        <w:t>10. Il doit également être souligné que les critères caractérisant l'exposition professionnelle requise au sens de l'article 32 précité sont identiques qu'il s'agisse d'une maladie de la liste ou d'une maladie hors liste.</w:t>
      </w:r>
      <w:r w:rsidRPr="0067154C">
        <w:rPr>
          <w:rFonts w:cs="Times New Roman"/>
        </w:rPr>
        <w:t> »</w:t>
      </w:r>
    </w:p>
    <w:p w14:paraId="15FEADF4" w14:textId="77777777" w:rsidR="00DA4D7C" w:rsidRDefault="00DA4D7C" w:rsidP="00DA4D7C">
      <w:pPr>
        <w:tabs>
          <w:tab w:val="left" w:pos="-1440"/>
        </w:tabs>
        <w:snapToGrid w:val="0"/>
        <w:jc w:val="both"/>
        <w:rPr>
          <w:rFonts w:cs="Times New Roman"/>
          <w:lang w:val="fr-FR"/>
        </w:rPr>
      </w:pPr>
    </w:p>
    <w:p w14:paraId="666425F5" w14:textId="77777777" w:rsidR="006C3A5C" w:rsidRPr="0067154C" w:rsidRDefault="006C3A5C" w:rsidP="00DA4D7C">
      <w:pPr>
        <w:tabs>
          <w:tab w:val="left" w:pos="-1440"/>
        </w:tabs>
        <w:snapToGrid w:val="0"/>
        <w:jc w:val="both"/>
        <w:rPr>
          <w:rFonts w:cs="Times New Roman"/>
          <w:lang w:val="fr-FR"/>
        </w:rPr>
      </w:pPr>
    </w:p>
    <w:p w14:paraId="2B110A50" w14:textId="77777777" w:rsidR="00DA4D7C" w:rsidRPr="0067154C" w:rsidRDefault="00287602" w:rsidP="004C471C">
      <w:pPr>
        <w:pStyle w:val="Paragraphedeliste"/>
        <w:numPr>
          <w:ilvl w:val="0"/>
          <w:numId w:val="20"/>
        </w:numPr>
        <w:tabs>
          <w:tab w:val="left" w:pos="-1440"/>
        </w:tabs>
        <w:snapToGrid w:val="0"/>
        <w:jc w:val="both"/>
        <w:rPr>
          <w:rFonts w:cs="Times New Roman"/>
          <w:u w:val="single"/>
          <w:lang w:val="fr-FR"/>
        </w:rPr>
      </w:pPr>
      <w:r>
        <w:rPr>
          <w:rFonts w:cs="Times New Roman"/>
          <w:u w:val="single"/>
          <w:lang w:val="fr-FR"/>
        </w:rPr>
        <w:t>Le rapport d’expertise</w:t>
      </w:r>
      <w:r w:rsidR="004C471C" w:rsidRPr="0067154C">
        <w:rPr>
          <w:rFonts w:cs="Times New Roman"/>
          <w:u w:val="single"/>
          <w:lang w:val="fr-FR"/>
        </w:rPr>
        <w:t>.</w:t>
      </w:r>
    </w:p>
    <w:p w14:paraId="47C55E87" w14:textId="77777777" w:rsidR="00DA4D7C" w:rsidRDefault="00DA4D7C" w:rsidP="00DA4D7C">
      <w:pPr>
        <w:tabs>
          <w:tab w:val="left" w:pos="-1440"/>
        </w:tabs>
        <w:snapToGrid w:val="0"/>
        <w:jc w:val="both"/>
        <w:rPr>
          <w:rFonts w:cs="Times New Roman"/>
          <w:lang w:val="fr-FR"/>
        </w:rPr>
      </w:pPr>
    </w:p>
    <w:p w14:paraId="79C8351C" w14:textId="77777777" w:rsidR="006C3A5C" w:rsidRPr="0067154C" w:rsidRDefault="006C3A5C" w:rsidP="00DA4D7C">
      <w:pPr>
        <w:tabs>
          <w:tab w:val="left" w:pos="-1440"/>
        </w:tabs>
        <w:snapToGrid w:val="0"/>
        <w:jc w:val="both"/>
        <w:rPr>
          <w:rFonts w:cs="Times New Roman"/>
          <w:lang w:val="fr-FR"/>
        </w:rPr>
      </w:pPr>
    </w:p>
    <w:p w14:paraId="10AA6BBC" w14:textId="77777777" w:rsidR="00DA4D7C" w:rsidRPr="0067154C" w:rsidRDefault="00DA4D7C" w:rsidP="00DA4D7C">
      <w:pPr>
        <w:tabs>
          <w:tab w:val="left" w:pos="-1440"/>
        </w:tabs>
        <w:snapToGrid w:val="0"/>
        <w:jc w:val="both"/>
        <w:rPr>
          <w:rFonts w:cs="Times New Roman"/>
          <w:lang w:val="fr-FR"/>
        </w:rPr>
      </w:pPr>
      <w:r w:rsidRPr="0067154C">
        <w:rPr>
          <w:rFonts w:cs="Times New Roman"/>
          <w:lang w:val="fr-FR"/>
        </w:rPr>
        <w:t xml:space="preserve">1. Monsieur </w:t>
      </w:r>
      <w:r w:rsidR="00980631">
        <w:rPr>
          <w:rFonts w:cs="Times New Roman"/>
          <w:lang w:val="fr-FR"/>
        </w:rPr>
        <w:t xml:space="preserve">C. </w:t>
      </w:r>
      <w:r w:rsidRPr="0067154C">
        <w:rPr>
          <w:rFonts w:cs="Times New Roman"/>
          <w:lang w:val="fr-FR"/>
        </w:rPr>
        <w:t xml:space="preserve">souffre de la même maladie professionnelle initialement reconnue sous le code 1.605.12, code aujourd’hui supprimé.  </w:t>
      </w:r>
    </w:p>
    <w:p w14:paraId="74F3C8CF" w14:textId="77777777" w:rsidR="00DA4D7C" w:rsidRPr="0067154C" w:rsidRDefault="004C471C" w:rsidP="00DA4D7C">
      <w:pPr>
        <w:tabs>
          <w:tab w:val="left" w:pos="-1440"/>
        </w:tabs>
        <w:snapToGrid w:val="0"/>
        <w:jc w:val="both"/>
        <w:rPr>
          <w:rFonts w:cs="Times New Roman"/>
          <w:lang w:val="fr-FR"/>
        </w:rPr>
      </w:pPr>
      <w:r w:rsidRPr="0067154C">
        <w:rPr>
          <w:rFonts w:cs="Times New Roman"/>
          <w:lang w:val="fr-FR"/>
        </w:rPr>
        <w:t>Un taux global de 8 %, soit 6</w:t>
      </w:r>
      <w:r w:rsidR="00DA4D7C" w:rsidRPr="0067154C">
        <w:rPr>
          <w:rFonts w:cs="Times New Roman"/>
          <w:lang w:val="fr-FR"/>
        </w:rPr>
        <w:t xml:space="preserve"> % d’incapacité physique lui avait été reconnu à la date du </w:t>
      </w:r>
      <w:r w:rsidR="00F11924">
        <w:rPr>
          <w:rFonts w:cs="Times New Roman"/>
          <w:lang w:val="fr-FR"/>
        </w:rPr>
        <w:t>09</w:t>
      </w:r>
      <w:r w:rsidRPr="0067154C">
        <w:rPr>
          <w:rFonts w:cs="Times New Roman"/>
          <w:lang w:val="fr-FR"/>
        </w:rPr>
        <w:t xml:space="preserve"> avril 1999</w:t>
      </w:r>
      <w:r w:rsidR="00DA4D7C" w:rsidRPr="0067154C">
        <w:rPr>
          <w:rFonts w:cs="Times New Roman"/>
          <w:lang w:val="fr-FR"/>
        </w:rPr>
        <w:t>.</w:t>
      </w:r>
    </w:p>
    <w:p w14:paraId="476BB246" w14:textId="77777777" w:rsidR="00DA4D7C" w:rsidRPr="0067154C" w:rsidRDefault="00DA4D7C" w:rsidP="00DA4D7C">
      <w:pPr>
        <w:tabs>
          <w:tab w:val="left" w:pos="-1440"/>
        </w:tabs>
        <w:snapToGrid w:val="0"/>
        <w:jc w:val="both"/>
        <w:rPr>
          <w:rFonts w:cs="Times New Roman"/>
          <w:lang w:val="fr-FR"/>
        </w:rPr>
      </w:pPr>
    </w:p>
    <w:p w14:paraId="09A2F1B0" w14:textId="77777777" w:rsidR="004C471C" w:rsidRPr="0067154C" w:rsidRDefault="00DA4D7C" w:rsidP="00DA4D7C">
      <w:pPr>
        <w:tabs>
          <w:tab w:val="left" w:pos="-1440"/>
        </w:tabs>
        <w:snapToGrid w:val="0"/>
        <w:jc w:val="both"/>
        <w:rPr>
          <w:rFonts w:cs="Times New Roman"/>
          <w:lang w:val="fr-FR"/>
        </w:rPr>
      </w:pPr>
      <w:r w:rsidRPr="0067154C">
        <w:rPr>
          <w:rFonts w:cs="Times New Roman"/>
          <w:lang w:val="fr-FR"/>
        </w:rPr>
        <w:t xml:space="preserve">2. Monsieur </w:t>
      </w:r>
      <w:r w:rsidR="00980631">
        <w:rPr>
          <w:rFonts w:cs="Times New Roman"/>
          <w:lang w:val="fr-FR"/>
        </w:rPr>
        <w:t xml:space="preserve">C. </w:t>
      </w:r>
      <w:r w:rsidRPr="0067154C">
        <w:rPr>
          <w:rFonts w:cs="Times New Roman"/>
          <w:lang w:val="fr-FR"/>
        </w:rPr>
        <w:t>sollicit</w:t>
      </w:r>
      <w:r w:rsidR="004C471C" w:rsidRPr="0067154C">
        <w:rPr>
          <w:rFonts w:cs="Times New Roman"/>
          <w:lang w:val="fr-FR"/>
        </w:rPr>
        <w:t>a la révision de cette décision et introduisit une demande en date du 22 juin 2015.</w:t>
      </w:r>
    </w:p>
    <w:p w14:paraId="4B1EA0A3" w14:textId="77777777" w:rsidR="004C471C" w:rsidRPr="0067154C" w:rsidRDefault="004C471C" w:rsidP="00DA4D7C">
      <w:pPr>
        <w:tabs>
          <w:tab w:val="left" w:pos="-1440"/>
        </w:tabs>
        <w:snapToGrid w:val="0"/>
        <w:jc w:val="both"/>
        <w:rPr>
          <w:rFonts w:cs="Times New Roman"/>
          <w:lang w:val="fr-FR"/>
        </w:rPr>
      </w:pPr>
    </w:p>
    <w:p w14:paraId="710573CA" w14:textId="77777777" w:rsidR="004C471C" w:rsidRPr="0067154C" w:rsidRDefault="004C471C" w:rsidP="00DA4D7C">
      <w:pPr>
        <w:tabs>
          <w:tab w:val="left" w:pos="-1440"/>
        </w:tabs>
        <w:snapToGrid w:val="0"/>
        <w:jc w:val="both"/>
        <w:rPr>
          <w:rFonts w:cs="Times New Roman"/>
          <w:lang w:val="fr-FR"/>
        </w:rPr>
      </w:pPr>
      <w:r w:rsidRPr="0067154C">
        <w:rPr>
          <w:rFonts w:cs="Times New Roman"/>
          <w:lang w:val="fr-FR"/>
        </w:rPr>
        <w:t>En effet par décision datée du 24 août 2016, la partie défenderesse a déclaré que la demande était rejetée sous le code 1.605.03.</w:t>
      </w:r>
    </w:p>
    <w:p w14:paraId="7937FFC5" w14:textId="77777777" w:rsidR="004C471C" w:rsidRPr="0067154C" w:rsidRDefault="004C471C" w:rsidP="00DA4D7C">
      <w:pPr>
        <w:tabs>
          <w:tab w:val="left" w:pos="-1440"/>
        </w:tabs>
        <w:snapToGrid w:val="0"/>
        <w:jc w:val="both"/>
        <w:rPr>
          <w:rFonts w:cs="Times New Roman"/>
          <w:lang w:val="fr-FR"/>
        </w:rPr>
      </w:pPr>
    </w:p>
    <w:p w14:paraId="745C1E47" w14:textId="77777777" w:rsidR="004C471C" w:rsidRPr="0067154C" w:rsidRDefault="004C471C" w:rsidP="00DA4D7C">
      <w:pPr>
        <w:tabs>
          <w:tab w:val="left" w:pos="-1440"/>
        </w:tabs>
        <w:snapToGrid w:val="0"/>
        <w:jc w:val="both"/>
        <w:rPr>
          <w:rFonts w:cs="Times New Roman"/>
          <w:lang w:val="fr-FR"/>
        </w:rPr>
      </w:pPr>
      <w:r w:rsidRPr="0067154C">
        <w:rPr>
          <w:rFonts w:cs="Times New Roman"/>
          <w:lang w:val="fr-FR"/>
        </w:rPr>
        <w:t>3 Un recours fut introduit le 22 février 2017.</w:t>
      </w:r>
    </w:p>
    <w:p w14:paraId="0D02716C" w14:textId="77777777" w:rsidR="004C471C" w:rsidRPr="0067154C" w:rsidRDefault="004C471C" w:rsidP="00DA4D7C">
      <w:pPr>
        <w:tabs>
          <w:tab w:val="left" w:pos="-1440"/>
        </w:tabs>
        <w:snapToGrid w:val="0"/>
        <w:jc w:val="both"/>
        <w:rPr>
          <w:rFonts w:cs="Times New Roman"/>
          <w:lang w:val="fr-FR"/>
        </w:rPr>
      </w:pPr>
    </w:p>
    <w:p w14:paraId="31C5F7CE" w14:textId="77777777" w:rsidR="004C471C" w:rsidRDefault="004C471C" w:rsidP="00DA4D7C">
      <w:pPr>
        <w:tabs>
          <w:tab w:val="left" w:pos="-1440"/>
        </w:tabs>
        <w:snapToGrid w:val="0"/>
        <w:jc w:val="both"/>
        <w:rPr>
          <w:rFonts w:cs="Times New Roman"/>
          <w:lang w:val="fr-FR"/>
        </w:rPr>
      </w:pPr>
      <w:r w:rsidRPr="0067154C">
        <w:rPr>
          <w:rFonts w:cs="Times New Roman"/>
          <w:lang w:val="fr-FR"/>
        </w:rPr>
        <w:t>4. Par jugement avant dire droit prononcé le 28 juin 2018</w:t>
      </w:r>
      <w:r w:rsidR="00CF4EC2" w:rsidRPr="0067154C">
        <w:rPr>
          <w:rFonts w:cs="Times New Roman"/>
          <w:lang w:val="fr-FR"/>
        </w:rPr>
        <w:t>,</w:t>
      </w:r>
      <w:r w:rsidR="00CF4EC2">
        <w:rPr>
          <w:rFonts w:cs="Times New Roman"/>
          <w:lang w:val="fr-FR"/>
        </w:rPr>
        <w:t xml:space="preserve"> le tribunal ordonnait une expertise médicale et désignait à cet effet, le Docteur G.F. ALEXANDRE afin de déterminer si la partie demanderesse était victime d’une aggravation de sa maladie professionnelle reconnue, à savoir une aggravation de la pathologie lombaire dans le cadre d’une maladie hors liste.</w:t>
      </w:r>
    </w:p>
    <w:p w14:paraId="12C05CD3" w14:textId="77777777" w:rsidR="00CF4EC2" w:rsidRDefault="00CF4EC2" w:rsidP="00DA4D7C">
      <w:pPr>
        <w:tabs>
          <w:tab w:val="left" w:pos="-1440"/>
        </w:tabs>
        <w:snapToGrid w:val="0"/>
        <w:jc w:val="both"/>
        <w:rPr>
          <w:rFonts w:cs="Times New Roman"/>
          <w:lang w:val="fr-FR"/>
        </w:rPr>
      </w:pPr>
      <w:r>
        <w:rPr>
          <w:rFonts w:cs="Times New Roman"/>
          <w:lang w:val="fr-FR"/>
        </w:rPr>
        <w:t>En effet, la maladie professionnelle initialement reconnue avait été supprimée.</w:t>
      </w:r>
    </w:p>
    <w:p w14:paraId="78B5CCF6" w14:textId="77777777" w:rsidR="00CF4EC2" w:rsidRDefault="00CF4EC2" w:rsidP="00DA4D7C">
      <w:pPr>
        <w:tabs>
          <w:tab w:val="left" w:pos="-1440"/>
        </w:tabs>
        <w:snapToGrid w:val="0"/>
        <w:jc w:val="both"/>
        <w:rPr>
          <w:rFonts w:cs="Times New Roman"/>
          <w:lang w:val="fr-FR"/>
        </w:rPr>
      </w:pPr>
    </w:p>
    <w:p w14:paraId="7184F00D" w14:textId="77777777" w:rsidR="00CF4EC2" w:rsidRDefault="00CF4EC2" w:rsidP="00DA4D7C">
      <w:pPr>
        <w:tabs>
          <w:tab w:val="left" w:pos="-1440"/>
        </w:tabs>
        <w:snapToGrid w:val="0"/>
        <w:jc w:val="both"/>
        <w:rPr>
          <w:rFonts w:cs="Times New Roman"/>
          <w:lang w:val="fr-FR"/>
        </w:rPr>
      </w:pPr>
      <w:r>
        <w:rPr>
          <w:rFonts w:cs="Times New Roman"/>
          <w:lang w:val="fr-FR"/>
        </w:rPr>
        <w:t>5. Par ordonnance datée du 30 avril 2020, le tribunal procéda au remplacement de l’expert judiciaire et désigna le Docteur Didier SPADIN.</w:t>
      </w:r>
    </w:p>
    <w:p w14:paraId="13FA1823" w14:textId="77777777" w:rsidR="00CF4EC2" w:rsidRDefault="00CF4EC2" w:rsidP="00DA4D7C">
      <w:pPr>
        <w:tabs>
          <w:tab w:val="left" w:pos="-1440"/>
        </w:tabs>
        <w:snapToGrid w:val="0"/>
        <w:jc w:val="both"/>
        <w:rPr>
          <w:rFonts w:cs="Times New Roman"/>
          <w:lang w:val="fr-FR"/>
        </w:rPr>
      </w:pPr>
    </w:p>
    <w:p w14:paraId="7C7CC277" w14:textId="77777777" w:rsidR="00CF4EC2" w:rsidRDefault="00CF4EC2" w:rsidP="00DA4D7C">
      <w:pPr>
        <w:tabs>
          <w:tab w:val="left" w:pos="-1440"/>
        </w:tabs>
        <w:snapToGrid w:val="0"/>
        <w:jc w:val="both"/>
        <w:rPr>
          <w:rFonts w:cs="Times New Roman"/>
          <w:lang w:val="fr-FR"/>
        </w:rPr>
      </w:pPr>
      <w:r>
        <w:rPr>
          <w:rFonts w:cs="Times New Roman"/>
          <w:lang w:val="fr-FR"/>
        </w:rPr>
        <w:t xml:space="preserve">6. Ce dernier déposa son rapport en date du 30 juin 2021.  </w:t>
      </w:r>
    </w:p>
    <w:p w14:paraId="593D4192" w14:textId="77777777" w:rsidR="00CF4EC2" w:rsidRDefault="00CF4EC2" w:rsidP="00DA4D7C">
      <w:pPr>
        <w:tabs>
          <w:tab w:val="left" w:pos="-1440"/>
        </w:tabs>
        <w:snapToGrid w:val="0"/>
        <w:jc w:val="both"/>
        <w:rPr>
          <w:rFonts w:cs="Times New Roman"/>
          <w:lang w:val="fr-FR"/>
        </w:rPr>
      </w:pPr>
    </w:p>
    <w:p w14:paraId="1E095F13" w14:textId="77777777" w:rsidR="004C471C" w:rsidRDefault="00CF4EC2" w:rsidP="00DA4D7C">
      <w:pPr>
        <w:tabs>
          <w:tab w:val="left" w:pos="-1440"/>
        </w:tabs>
        <w:snapToGrid w:val="0"/>
        <w:jc w:val="both"/>
        <w:rPr>
          <w:rFonts w:cs="Times New Roman"/>
          <w:lang w:val="fr-FR"/>
        </w:rPr>
      </w:pPr>
      <w:r>
        <w:rPr>
          <w:rFonts w:cs="Times New Roman"/>
          <w:lang w:val="fr-FR"/>
        </w:rPr>
        <w:t>C</w:t>
      </w:r>
      <w:r w:rsidR="0067154C">
        <w:rPr>
          <w:rFonts w:cs="Times New Roman"/>
          <w:lang w:val="fr-FR"/>
        </w:rPr>
        <w:t>e dernier précise en page 12 les conclusions de l’étude d’évolution des images radiographiques demandée au Docteur PELOUSSE</w:t>
      </w:r>
      <w:r w:rsidR="00287602">
        <w:rPr>
          <w:rFonts w:cs="Times New Roman"/>
          <w:lang w:val="fr-FR"/>
        </w:rPr>
        <w:t xml:space="preserve"> lesquelles indiquent notamment : « </w:t>
      </w:r>
      <w:r w:rsidR="00287602">
        <w:rPr>
          <w:rFonts w:cs="Times New Roman"/>
          <w:i/>
          <w:lang w:val="fr-FR"/>
        </w:rPr>
        <w:t xml:space="preserve">En référence aux précédents bilans du </w:t>
      </w:r>
      <w:r w:rsidR="00287602">
        <w:rPr>
          <w:rFonts w:cs="Times New Roman"/>
          <w:i/>
          <w:u w:val="single"/>
          <w:lang w:val="fr-FR"/>
        </w:rPr>
        <w:t>08.01.2003</w:t>
      </w:r>
      <w:r w:rsidR="00287602">
        <w:rPr>
          <w:rFonts w:cs="Times New Roman"/>
          <w:i/>
          <w:lang w:val="fr-FR"/>
        </w:rPr>
        <w:t xml:space="preserve"> et du </w:t>
      </w:r>
      <w:r w:rsidR="00287602">
        <w:rPr>
          <w:rFonts w:cs="Times New Roman"/>
          <w:i/>
          <w:u w:val="single"/>
          <w:lang w:val="fr-FR"/>
        </w:rPr>
        <w:t>06.05.2004</w:t>
      </w:r>
      <w:r w:rsidR="00287602">
        <w:rPr>
          <w:rFonts w:cs="Times New Roman"/>
          <w:i/>
          <w:lang w:val="fr-FR"/>
        </w:rPr>
        <w:t xml:space="preserve">, développement du conflit mécanique interépineux L3/L4, </w:t>
      </w:r>
      <w:r w:rsidR="00287602" w:rsidRPr="00287602">
        <w:rPr>
          <w:rFonts w:cs="Times New Roman"/>
          <w:b/>
          <w:i/>
          <w:lang w:val="fr-FR"/>
        </w:rPr>
        <w:t xml:space="preserve">développement de l’arthrose </w:t>
      </w:r>
      <w:proofErr w:type="spellStart"/>
      <w:r w:rsidR="00287602" w:rsidRPr="00287602">
        <w:rPr>
          <w:rFonts w:cs="Times New Roman"/>
          <w:b/>
          <w:i/>
          <w:lang w:val="fr-FR"/>
        </w:rPr>
        <w:t>interapohysaire</w:t>
      </w:r>
      <w:proofErr w:type="spellEnd"/>
      <w:r w:rsidR="00287602" w:rsidRPr="00287602">
        <w:rPr>
          <w:rFonts w:cs="Times New Roman"/>
          <w:b/>
          <w:i/>
          <w:lang w:val="fr-FR"/>
        </w:rPr>
        <w:t xml:space="preserve"> L3/L4 et L4/L5 bilatéralement</w:t>
      </w:r>
      <w:r w:rsidR="00287602" w:rsidRPr="00287602">
        <w:rPr>
          <w:rStyle w:val="Appelnotedebasdep"/>
          <w:rFonts w:cs="Times New Roman"/>
          <w:i/>
          <w:vertAlign w:val="superscript"/>
          <w:lang w:val="fr-FR"/>
        </w:rPr>
        <w:footnoteReference w:id="19"/>
      </w:r>
      <w:r w:rsidR="00287602">
        <w:rPr>
          <w:rFonts w:cs="Times New Roman"/>
          <w:i/>
          <w:lang w:val="fr-FR"/>
        </w:rPr>
        <w:t xml:space="preserve">, majoration de la discarthrose L3/L4 et </w:t>
      </w:r>
      <w:r w:rsidR="00287602" w:rsidRPr="00287602">
        <w:rPr>
          <w:rFonts w:cs="Times New Roman"/>
          <w:b/>
          <w:i/>
          <w:lang w:val="fr-FR"/>
        </w:rPr>
        <w:t xml:space="preserve">nette majoration de la discarthrose L4/L5.  A l’époque, le grade de </w:t>
      </w:r>
      <w:proofErr w:type="spellStart"/>
      <w:r w:rsidR="00287602" w:rsidRPr="00287602">
        <w:rPr>
          <w:rFonts w:cs="Times New Roman"/>
          <w:b/>
          <w:i/>
          <w:lang w:val="fr-FR"/>
        </w:rPr>
        <w:t>Kellgren</w:t>
      </w:r>
      <w:proofErr w:type="spellEnd"/>
      <w:r w:rsidR="00287602" w:rsidRPr="00287602">
        <w:rPr>
          <w:rFonts w:cs="Times New Roman"/>
          <w:b/>
          <w:i/>
          <w:lang w:val="fr-FR"/>
        </w:rPr>
        <w:t xml:space="preserve"> était évalué à 2 à tous les niveaux lombaires.</w:t>
      </w:r>
      <w:r w:rsidR="00287602">
        <w:rPr>
          <w:rFonts w:cs="Times New Roman"/>
          <w:i/>
          <w:lang w:val="fr-FR"/>
        </w:rPr>
        <w:t> </w:t>
      </w:r>
      <w:r w:rsidR="00287602" w:rsidRPr="00287602">
        <w:rPr>
          <w:rStyle w:val="Appelnotedebasdep"/>
          <w:rFonts w:cs="Times New Roman"/>
          <w:i/>
          <w:vertAlign w:val="superscript"/>
          <w:lang w:val="fr-FR"/>
        </w:rPr>
        <w:footnoteReference w:id="20"/>
      </w:r>
      <w:r w:rsidR="00287602">
        <w:rPr>
          <w:rFonts w:cs="Times New Roman"/>
          <w:i/>
          <w:lang w:val="fr-FR"/>
        </w:rPr>
        <w:t>»</w:t>
      </w:r>
    </w:p>
    <w:p w14:paraId="689117FE" w14:textId="77777777" w:rsidR="00DA4D7C" w:rsidRDefault="00DA4D7C" w:rsidP="00DA4D7C">
      <w:pPr>
        <w:tabs>
          <w:tab w:val="left" w:pos="-1440"/>
        </w:tabs>
        <w:snapToGrid w:val="0"/>
        <w:jc w:val="both"/>
        <w:rPr>
          <w:rFonts w:cs="Times New Roman"/>
          <w:lang w:val="fr-FR"/>
        </w:rPr>
      </w:pPr>
    </w:p>
    <w:p w14:paraId="21525F0A" w14:textId="77777777" w:rsidR="00DA4D7C" w:rsidRDefault="00DA4D7C" w:rsidP="00DA4D7C">
      <w:pPr>
        <w:tabs>
          <w:tab w:val="left" w:pos="-1440"/>
        </w:tabs>
        <w:snapToGrid w:val="0"/>
        <w:jc w:val="both"/>
        <w:rPr>
          <w:rFonts w:cs="Times New Roman"/>
          <w:lang w:val="fr-FR"/>
        </w:rPr>
      </w:pPr>
    </w:p>
    <w:p w14:paraId="7014CE75" w14:textId="77777777" w:rsidR="00287602" w:rsidRDefault="00287602" w:rsidP="00DA4D7C">
      <w:pPr>
        <w:tabs>
          <w:tab w:val="left" w:pos="-1440"/>
        </w:tabs>
        <w:snapToGrid w:val="0"/>
        <w:jc w:val="both"/>
        <w:rPr>
          <w:rFonts w:cs="Times New Roman"/>
          <w:i/>
          <w:lang w:val="fr-FR"/>
        </w:rPr>
      </w:pPr>
      <w:r>
        <w:rPr>
          <w:rFonts w:cs="Times New Roman"/>
          <w:lang w:val="fr-FR"/>
        </w:rPr>
        <w:t>7. En page</w:t>
      </w:r>
      <w:r w:rsidR="00B1093A">
        <w:rPr>
          <w:rFonts w:cs="Times New Roman"/>
          <w:lang w:val="fr-FR"/>
        </w:rPr>
        <w:t xml:space="preserve"> 13, l’expert judiciaire reproduit les remarques formulées par le Docteur PAGGETTI, médecin conseil de FEDRIS : « </w:t>
      </w:r>
      <w:r w:rsidR="00B1093A">
        <w:rPr>
          <w:rFonts w:cs="Times New Roman"/>
          <w:i/>
          <w:lang w:val="fr-FR"/>
        </w:rPr>
        <w:t>Il confirme la position de FEDRIS et revient sur le lien de causalité.</w:t>
      </w:r>
    </w:p>
    <w:p w14:paraId="694157D0" w14:textId="77777777" w:rsidR="00B1093A" w:rsidRDefault="00B1093A" w:rsidP="00DA4D7C">
      <w:pPr>
        <w:tabs>
          <w:tab w:val="left" w:pos="-1440"/>
        </w:tabs>
        <w:snapToGrid w:val="0"/>
        <w:jc w:val="both"/>
        <w:rPr>
          <w:rFonts w:cs="Times New Roman"/>
          <w:i/>
          <w:lang w:val="fr-FR"/>
        </w:rPr>
      </w:pPr>
      <w:r>
        <w:rPr>
          <w:rFonts w:cs="Times New Roman"/>
          <w:i/>
          <w:lang w:val="fr-FR"/>
        </w:rPr>
        <w:t xml:space="preserve">Il rappelle que les clichés radiographiques de 2003 montraient des lésions dégénératives à 2 (selon </w:t>
      </w:r>
      <w:proofErr w:type="spellStart"/>
      <w:r>
        <w:rPr>
          <w:rFonts w:cs="Times New Roman"/>
          <w:i/>
          <w:lang w:val="fr-FR"/>
        </w:rPr>
        <w:t>Kellgren</w:t>
      </w:r>
      <w:proofErr w:type="spellEnd"/>
      <w:r>
        <w:rPr>
          <w:rFonts w:cs="Times New Roman"/>
          <w:i/>
          <w:lang w:val="fr-FR"/>
        </w:rPr>
        <w:t>) à tous les niveaux lombaires.</w:t>
      </w:r>
    </w:p>
    <w:p w14:paraId="0AD2A367" w14:textId="77777777" w:rsidR="00B1093A" w:rsidRDefault="00B1093A" w:rsidP="00DA4D7C">
      <w:pPr>
        <w:tabs>
          <w:tab w:val="left" w:pos="-1440"/>
        </w:tabs>
        <w:snapToGrid w:val="0"/>
        <w:jc w:val="both"/>
        <w:rPr>
          <w:rFonts w:cs="Times New Roman"/>
          <w:i/>
          <w:lang w:val="fr-FR"/>
        </w:rPr>
      </w:pPr>
      <w:r>
        <w:rPr>
          <w:rFonts w:cs="Times New Roman"/>
          <w:i/>
          <w:lang w:val="fr-FR"/>
        </w:rPr>
        <w:t>A ses yeux, il s’agit de lésions dégénératives normalement attendues chez une personne de 45 ans.</w:t>
      </w:r>
    </w:p>
    <w:p w14:paraId="4DD35BEB" w14:textId="77777777" w:rsidR="00B1093A" w:rsidRDefault="00B1093A" w:rsidP="00DA4D7C">
      <w:pPr>
        <w:tabs>
          <w:tab w:val="left" w:pos="-1440"/>
        </w:tabs>
        <w:snapToGrid w:val="0"/>
        <w:jc w:val="both"/>
        <w:rPr>
          <w:rFonts w:cs="Times New Roman"/>
          <w:i/>
          <w:lang w:val="fr-FR"/>
        </w:rPr>
      </w:pPr>
      <w:r>
        <w:rPr>
          <w:rFonts w:cs="Times New Roman"/>
          <w:i/>
          <w:lang w:val="fr-FR"/>
        </w:rPr>
        <w:lastRenderedPageBreak/>
        <w:t>Il ajoute que des radiographies et la colonne cervicale et une scintigraphie osseuse de la colonne ont montré une atteinte dégénérative étagée à l’ensemble du rachis.</w:t>
      </w:r>
    </w:p>
    <w:p w14:paraId="407A145F" w14:textId="77777777" w:rsidR="00B1093A" w:rsidRDefault="00B1093A" w:rsidP="00DA4D7C">
      <w:pPr>
        <w:tabs>
          <w:tab w:val="left" w:pos="-1440"/>
        </w:tabs>
        <w:snapToGrid w:val="0"/>
        <w:jc w:val="both"/>
        <w:rPr>
          <w:rFonts w:cs="Times New Roman"/>
          <w:i/>
          <w:lang w:val="fr-FR"/>
        </w:rPr>
      </w:pPr>
      <w:r>
        <w:rPr>
          <w:rFonts w:cs="Times New Roman"/>
          <w:i/>
          <w:lang w:val="fr-FR"/>
        </w:rPr>
        <w:t>Il considère que les lésions dégénératives constatées en 1999 et en 2003 et leur évolution décrite de 45 à 63 ans sont d’allure physiologique, et jusqu’à preuve du contraire, ne sont pas à considérer en lien direct et déterminant avec l’exercice de la profession. »</w:t>
      </w:r>
    </w:p>
    <w:p w14:paraId="266C5DB9" w14:textId="77777777" w:rsidR="00A31C78" w:rsidRDefault="00A31C78" w:rsidP="00DA4D7C">
      <w:pPr>
        <w:tabs>
          <w:tab w:val="left" w:pos="-1440"/>
        </w:tabs>
        <w:snapToGrid w:val="0"/>
        <w:jc w:val="both"/>
        <w:rPr>
          <w:rFonts w:cs="Times New Roman"/>
          <w:i/>
          <w:lang w:val="fr-FR"/>
        </w:rPr>
      </w:pPr>
    </w:p>
    <w:p w14:paraId="26545A8D" w14:textId="77777777" w:rsidR="00A31C78" w:rsidRDefault="00A31C78" w:rsidP="00DA4D7C">
      <w:pPr>
        <w:tabs>
          <w:tab w:val="left" w:pos="-1440"/>
        </w:tabs>
        <w:snapToGrid w:val="0"/>
        <w:jc w:val="both"/>
        <w:rPr>
          <w:rFonts w:cs="Times New Roman"/>
          <w:lang w:val="fr-FR"/>
        </w:rPr>
      </w:pPr>
      <w:r>
        <w:rPr>
          <w:rFonts w:cs="Times New Roman"/>
          <w:lang w:val="fr-FR"/>
        </w:rPr>
        <w:t>8. L’avis provisoire de l’expert</w:t>
      </w:r>
      <w:r w:rsidR="004048DE">
        <w:rPr>
          <w:rFonts w:cs="Times New Roman"/>
          <w:lang w:val="fr-FR"/>
        </w:rPr>
        <w:t xml:space="preserve"> est fourni en pages 13 et 14</w:t>
      </w:r>
      <w:r>
        <w:rPr>
          <w:rFonts w:cs="Times New Roman"/>
          <w:lang w:val="fr-FR"/>
        </w:rPr>
        <w:t>.</w:t>
      </w:r>
    </w:p>
    <w:p w14:paraId="0D228C9F" w14:textId="77777777" w:rsidR="004048DE" w:rsidRDefault="004048DE" w:rsidP="00DA4D7C">
      <w:pPr>
        <w:tabs>
          <w:tab w:val="left" w:pos="-1440"/>
        </w:tabs>
        <w:snapToGrid w:val="0"/>
        <w:jc w:val="both"/>
        <w:rPr>
          <w:rFonts w:cs="Times New Roman"/>
          <w:lang w:val="fr-FR"/>
        </w:rPr>
      </w:pPr>
    </w:p>
    <w:p w14:paraId="0179687D" w14:textId="77777777" w:rsidR="004048DE" w:rsidRDefault="004048DE" w:rsidP="00DA4D7C">
      <w:pPr>
        <w:tabs>
          <w:tab w:val="left" w:pos="-1440"/>
        </w:tabs>
        <w:snapToGrid w:val="0"/>
        <w:jc w:val="both"/>
        <w:rPr>
          <w:rFonts w:cs="Times New Roman"/>
          <w:lang w:val="fr-FR"/>
        </w:rPr>
      </w:pPr>
      <w:r>
        <w:rPr>
          <w:rFonts w:cs="Times New Roman"/>
          <w:lang w:val="fr-FR"/>
        </w:rPr>
        <w:t>9. Les réponses des parties sont reprises en pages 17.</w:t>
      </w:r>
    </w:p>
    <w:p w14:paraId="29AA23C8" w14:textId="77777777" w:rsidR="004048DE" w:rsidRDefault="004048DE" w:rsidP="00DA4D7C">
      <w:pPr>
        <w:tabs>
          <w:tab w:val="left" w:pos="-1440"/>
        </w:tabs>
        <w:snapToGrid w:val="0"/>
        <w:jc w:val="both"/>
        <w:rPr>
          <w:rFonts w:cs="Times New Roman"/>
          <w:lang w:val="fr-FR"/>
        </w:rPr>
      </w:pPr>
    </w:p>
    <w:p w14:paraId="7F2B751D" w14:textId="77777777" w:rsidR="004048DE" w:rsidRDefault="004048DE" w:rsidP="00CD5C6A">
      <w:pPr>
        <w:tabs>
          <w:tab w:val="left" w:pos="-1440"/>
        </w:tabs>
        <w:snapToGrid w:val="0"/>
        <w:jc w:val="both"/>
        <w:rPr>
          <w:rFonts w:cs="Times New Roman"/>
          <w:lang w:val="fr-FR"/>
        </w:rPr>
      </w:pPr>
      <w:r>
        <w:rPr>
          <w:rFonts w:cs="Times New Roman"/>
          <w:lang w:val="fr-FR"/>
        </w:rPr>
        <w:t xml:space="preserve">10. La discussion et les conclusions de l’expert sont communiquées en pages 17 et </w:t>
      </w:r>
      <w:r w:rsidR="00CD5C6A">
        <w:rPr>
          <w:rFonts w:cs="Times New Roman"/>
          <w:lang w:val="fr-FR"/>
        </w:rPr>
        <w:t>18.</w:t>
      </w:r>
    </w:p>
    <w:p w14:paraId="4138CD7D" w14:textId="77777777" w:rsidR="00D02E44" w:rsidRDefault="00D02E44" w:rsidP="00CD5C6A">
      <w:pPr>
        <w:tabs>
          <w:tab w:val="left" w:pos="-1440"/>
        </w:tabs>
        <w:snapToGrid w:val="0"/>
        <w:jc w:val="both"/>
        <w:rPr>
          <w:rFonts w:cs="Times New Roman"/>
          <w:lang w:val="fr-FR"/>
        </w:rPr>
      </w:pPr>
    </w:p>
    <w:p w14:paraId="3B2FFE84" w14:textId="77777777" w:rsidR="00D02E44" w:rsidRPr="00CD5C6A" w:rsidRDefault="00D02E44" w:rsidP="00CD5C6A">
      <w:pPr>
        <w:tabs>
          <w:tab w:val="left" w:pos="-1440"/>
        </w:tabs>
        <w:snapToGrid w:val="0"/>
        <w:jc w:val="both"/>
        <w:rPr>
          <w:rFonts w:cs="Times New Roman"/>
          <w:lang w:val="fr-FR"/>
        </w:rPr>
      </w:pPr>
    </w:p>
    <w:p w14:paraId="3B43DA15" w14:textId="77777777" w:rsidR="00A31C78" w:rsidRPr="00CD5C6A" w:rsidRDefault="00CD5C6A" w:rsidP="00CD5C6A">
      <w:pPr>
        <w:tabs>
          <w:tab w:val="left" w:pos="-1440"/>
        </w:tabs>
        <w:snapToGrid w:val="0"/>
        <w:ind w:left="709"/>
        <w:jc w:val="both"/>
        <w:rPr>
          <w:rFonts w:cs="Times New Roman"/>
          <w:u w:val="single"/>
          <w:lang w:val="fr-FR"/>
        </w:rPr>
      </w:pPr>
      <w:r w:rsidRPr="00CD5C6A">
        <w:rPr>
          <w:rFonts w:cs="Times New Roman"/>
          <w:lang w:val="fr-FR"/>
        </w:rPr>
        <w:t xml:space="preserve">5. </w:t>
      </w:r>
      <w:r>
        <w:rPr>
          <w:rFonts w:cs="Times New Roman"/>
          <w:u w:val="single"/>
          <w:lang w:val="fr-FR"/>
        </w:rPr>
        <w:t>La décision.</w:t>
      </w:r>
    </w:p>
    <w:p w14:paraId="35122016" w14:textId="77777777" w:rsidR="00A31C78" w:rsidRDefault="00A31C78" w:rsidP="00DA4D7C">
      <w:pPr>
        <w:tabs>
          <w:tab w:val="left" w:pos="-1440"/>
        </w:tabs>
        <w:snapToGrid w:val="0"/>
        <w:jc w:val="both"/>
        <w:rPr>
          <w:rFonts w:cs="Times New Roman"/>
          <w:lang w:val="fr-FR"/>
        </w:rPr>
      </w:pPr>
    </w:p>
    <w:p w14:paraId="1365B846" w14:textId="77777777" w:rsidR="002C28A3" w:rsidRPr="00A31C78" w:rsidRDefault="002C28A3" w:rsidP="00DA4D7C">
      <w:pPr>
        <w:tabs>
          <w:tab w:val="left" w:pos="-1440"/>
        </w:tabs>
        <w:snapToGrid w:val="0"/>
        <w:jc w:val="both"/>
        <w:rPr>
          <w:rFonts w:cs="Times New Roman"/>
          <w:lang w:val="fr-FR"/>
        </w:rPr>
      </w:pPr>
    </w:p>
    <w:p w14:paraId="405B0576" w14:textId="77777777" w:rsidR="00287602" w:rsidRPr="002C28A3" w:rsidRDefault="002C28A3" w:rsidP="002C28A3">
      <w:pPr>
        <w:pStyle w:val="Paragraphedeliste"/>
        <w:numPr>
          <w:ilvl w:val="0"/>
          <w:numId w:val="25"/>
        </w:numPr>
        <w:tabs>
          <w:tab w:val="left" w:pos="-1440"/>
        </w:tabs>
        <w:snapToGrid w:val="0"/>
        <w:jc w:val="both"/>
        <w:rPr>
          <w:rFonts w:cs="Times New Roman"/>
          <w:lang w:val="fr-FR"/>
        </w:rPr>
      </w:pPr>
      <w:r w:rsidRPr="002C28A3">
        <w:rPr>
          <w:rFonts w:cs="Times New Roman"/>
          <w:lang w:val="fr-FR"/>
        </w:rPr>
        <w:t>L</w:t>
      </w:r>
      <w:r>
        <w:rPr>
          <w:rFonts w:cs="Times New Roman"/>
          <w:lang w:val="fr-FR"/>
        </w:rPr>
        <w:t>’aggravation de l</w:t>
      </w:r>
      <w:r w:rsidRPr="002C28A3">
        <w:rPr>
          <w:rFonts w:cs="Times New Roman"/>
          <w:lang w:val="fr-FR"/>
        </w:rPr>
        <w:t>a maladie professionnelle.</w:t>
      </w:r>
    </w:p>
    <w:p w14:paraId="7EED43E6" w14:textId="77777777" w:rsidR="002C28A3" w:rsidRPr="002C28A3" w:rsidRDefault="002C28A3" w:rsidP="002C28A3">
      <w:pPr>
        <w:tabs>
          <w:tab w:val="left" w:pos="-1440"/>
        </w:tabs>
        <w:snapToGrid w:val="0"/>
        <w:jc w:val="both"/>
        <w:rPr>
          <w:rFonts w:cs="Times New Roman"/>
          <w:lang w:val="fr-FR"/>
        </w:rPr>
      </w:pPr>
    </w:p>
    <w:p w14:paraId="6F52CC0F" w14:textId="77777777" w:rsidR="00CD5C6A" w:rsidRDefault="00CD5C6A" w:rsidP="00DA4D7C">
      <w:pPr>
        <w:tabs>
          <w:tab w:val="left" w:pos="-1440"/>
        </w:tabs>
        <w:snapToGrid w:val="0"/>
        <w:jc w:val="both"/>
        <w:rPr>
          <w:rFonts w:cs="Times New Roman"/>
          <w:lang w:val="fr-FR"/>
        </w:rPr>
      </w:pPr>
      <w:r>
        <w:rPr>
          <w:rFonts w:cs="Times New Roman"/>
          <w:lang w:val="fr-FR"/>
        </w:rPr>
        <w:t xml:space="preserve">En ce qui concerne </w:t>
      </w:r>
      <w:r w:rsidRPr="0032541C">
        <w:rPr>
          <w:rFonts w:cs="Times New Roman"/>
          <w:b/>
          <w:lang w:val="fr-FR"/>
        </w:rPr>
        <w:t>la maladie professionnelle revendiquée et plus précisément son aggravation</w:t>
      </w:r>
      <w:r>
        <w:rPr>
          <w:rFonts w:cs="Times New Roman"/>
          <w:lang w:val="fr-FR"/>
        </w:rPr>
        <w:t xml:space="preserve">, </w:t>
      </w:r>
      <w:r w:rsidR="00212F2F">
        <w:rPr>
          <w:rFonts w:cs="Times New Roman"/>
          <w:lang w:val="fr-FR"/>
        </w:rPr>
        <w:t xml:space="preserve">le tribunal s’étonne de </w:t>
      </w:r>
      <w:r w:rsidR="00F11924">
        <w:rPr>
          <w:rFonts w:cs="Times New Roman"/>
          <w:lang w:val="fr-FR"/>
        </w:rPr>
        <w:t xml:space="preserve">la </w:t>
      </w:r>
      <w:r w:rsidR="00212F2F">
        <w:rPr>
          <w:rFonts w:cs="Times New Roman"/>
          <w:lang w:val="fr-FR"/>
        </w:rPr>
        <w:t>réponse formulée par le Docteur PAGETTI, le 03 mai 2021.</w:t>
      </w:r>
    </w:p>
    <w:p w14:paraId="566B3EE1" w14:textId="77777777" w:rsidR="00212F2F" w:rsidRDefault="00212F2F" w:rsidP="00212F2F">
      <w:pPr>
        <w:tabs>
          <w:tab w:val="left" w:pos="-1440"/>
        </w:tabs>
        <w:snapToGrid w:val="0"/>
        <w:jc w:val="both"/>
        <w:rPr>
          <w:rFonts w:cs="Times New Roman"/>
          <w:i/>
          <w:lang w:val="fr-FR"/>
        </w:rPr>
      </w:pPr>
      <w:r>
        <w:rPr>
          <w:rFonts w:cs="Times New Roman"/>
          <w:lang w:val="fr-FR"/>
        </w:rPr>
        <w:t>En effet, celui-ci précise pour rappel : « </w:t>
      </w:r>
      <w:r>
        <w:rPr>
          <w:rFonts w:cs="Times New Roman"/>
          <w:i/>
          <w:lang w:val="fr-FR"/>
        </w:rPr>
        <w:t xml:space="preserve">Il rappelle que les clichés radiographiques de 2003 montraient des lésions dégénératives à 2 (selon </w:t>
      </w:r>
      <w:proofErr w:type="spellStart"/>
      <w:r>
        <w:rPr>
          <w:rFonts w:cs="Times New Roman"/>
          <w:i/>
          <w:lang w:val="fr-FR"/>
        </w:rPr>
        <w:t>Kellgren</w:t>
      </w:r>
      <w:proofErr w:type="spellEnd"/>
      <w:r>
        <w:rPr>
          <w:rFonts w:cs="Times New Roman"/>
          <w:i/>
          <w:lang w:val="fr-FR"/>
        </w:rPr>
        <w:t>) à tous les niveaux lombaires.</w:t>
      </w:r>
    </w:p>
    <w:p w14:paraId="6B581913" w14:textId="77777777" w:rsidR="00212F2F" w:rsidRDefault="00212F2F" w:rsidP="00212F2F">
      <w:pPr>
        <w:tabs>
          <w:tab w:val="left" w:pos="-1440"/>
        </w:tabs>
        <w:snapToGrid w:val="0"/>
        <w:jc w:val="both"/>
        <w:rPr>
          <w:rFonts w:cs="Times New Roman"/>
          <w:i/>
          <w:lang w:val="fr-FR"/>
        </w:rPr>
      </w:pPr>
      <w:r>
        <w:rPr>
          <w:rFonts w:cs="Times New Roman"/>
          <w:i/>
          <w:lang w:val="fr-FR"/>
        </w:rPr>
        <w:t>A ses yeux, il s’agit de lésions dégénératives normalement attendues chez une personne de 45 ans. »</w:t>
      </w:r>
    </w:p>
    <w:p w14:paraId="2DC6D7DA" w14:textId="77777777" w:rsidR="00212F2F" w:rsidRDefault="00212F2F" w:rsidP="00212F2F">
      <w:pPr>
        <w:tabs>
          <w:tab w:val="left" w:pos="-1440"/>
        </w:tabs>
        <w:snapToGrid w:val="0"/>
        <w:jc w:val="both"/>
        <w:rPr>
          <w:rFonts w:cs="Times New Roman"/>
          <w:i/>
          <w:lang w:val="fr-FR"/>
        </w:rPr>
      </w:pPr>
    </w:p>
    <w:p w14:paraId="40539A0A" w14:textId="77777777" w:rsidR="00212F2F" w:rsidRDefault="00212F2F" w:rsidP="00212F2F">
      <w:pPr>
        <w:tabs>
          <w:tab w:val="left" w:pos="-1440"/>
        </w:tabs>
        <w:snapToGrid w:val="0"/>
        <w:jc w:val="both"/>
        <w:rPr>
          <w:rFonts w:cs="Times New Roman"/>
          <w:i/>
          <w:lang w:val="fr-FR"/>
        </w:rPr>
      </w:pPr>
      <w:r>
        <w:rPr>
          <w:rFonts w:cs="Times New Roman"/>
          <w:lang w:val="fr-FR"/>
        </w:rPr>
        <w:t>Or, en page 6 de son rapport d’expertise, l’expert judiciaire nous rappelle que par décision datée du « </w:t>
      </w:r>
      <w:r w:rsidRPr="00212F2F">
        <w:rPr>
          <w:rFonts w:cs="Times New Roman"/>
          <w:i/>
          <w:lang w:val="fr-FR"/>
        </w:rPr>
        <w:t xml:space="preserve">7 juin 2004, </w:t>
      </w:r>
      <w:r>
        <w:rPr>
          <w:rFonts w:cs="Times New Roman"/>
          <w:i/>
          <w:lang w:val="fr-FR"/>
        </w:rPr>
        <w:t xml:space="preserve">FEDRIS conclut que Monsieur </w:t>
      </w:r>
      <w:r w:rsidR="00980631">
        <w:rPr>
          <w:rFonts w:cs="Times New Roman"/>
          <w:i/>
          <w:lang w:val="fr-FR"/>
        </w:rPr>
        <w:t xml:space="preserve">C. </w:t>
      </w:r>
      <w:r>
        <w:rPr>
          <w:rFonts w:cs="Times New Roman"/>
          <w:i/>
          <w:lang w:val="fr-FR"/>
        </w:rPr>
        <w:t>est atteint (de) spondylarthrose lombaire depuis le 09.04.1999 (à l’âge de 42 ans) entraînant un taux d’incapacité physique de 6 %.</w:t>
      </w:r>
    </w:p>
    <w:p w14:paraId="62495549" w14:textId="77777777" w:rsidR="00212F2F" w:rsidRDefault="00212F2F" w:rsidP="00212F2F">
      <w:pPr>
        <w:tabs>
          <w:tab w:val="left" w:pos="-1440"/>
        </w:tabs>
        <w:snapToGrid w:val="0"/>
        <w:jc w:val="both"/>
        <w:rPr>
          <w:rFonts w:cs="Times New Roman"/>
          <w:i/>
          <w:lang w:val="fr-FR"/>
        </w:rPr>
      </w:pPr>
      <w:r>
        <w:rPr>
          <w:rFonts w:cs="Times New Roman"/>
          <w:i/>
          <w:lang w:val="fr-FR"/>
        </w:rPr>
        <w:t>La maladie</w:t>
      </w:r>
      <w:r w:rsidR="00FD124E">
        <w:rPr>
          <w:rFonts w:cs="Times New Roman"/>
          <w:i/>
          <w:lang w:val="fr-FR"/>
        </w:rPr>
        <w:t xml:space="preserve"> est codifiée 1.605.12.</w:t>
      </w:r>
    </w:p>
    <w:p w14:paraId="3259C1B0" w14:textId="77777777" w:rsidR="00FD124E" w:rsidRDefault="00FD124E" w:rsidP="00212F2F">
      <w:pPr>
        <w:tabs>
          <w:tab w:val="left" w:pos="-1440"/>
        </w:tabs>
        <w:snapToGrid w:val="0"/>
        <w:jc w:val="both"/>
        <w:rPr>
          <w:rFonts w:cs="Times New Roman"/>
          <w:i/>
          <w:lang w:val="fr-FR"/>
        </w:rPr>
      </w:pPr>
      <w:r>
        <w:rPr>
          <w:rFonts w:cs="Times New Roman"/>
          <w:i/>
          <w:lang w:val="fr-FR"/>
        </w:rPr>
        <w:t>L’affection est due aux vibrations mécaniques.</w:t>
      </w:r>
    </w:p>
    <w:p w14:paraId="3868538E" w14:textId="77777777" w:rsidR="00FD124E" w:rsidRPr="00212F2F" w:rsidRDefault="00FD124E" w:rsidP="00212F2F">
      <w:pPr>
        <w:tabs>
          <w:tab w:val="left" w:pos="-1440"/>
        </w:tabs>
        <w:snapToGrid w:val="0"/>
        <w:jc w:val="both"/>
        <w:rPr>
          <w:rFonts w:cs="Times New Roman"/>
          <w:i/>
          <w:lang w:val="fr-FR"/>
        </w:rPr>
      </w:pPr>
      <w:r>
        <w:rPr>
          <w:rFonts w:cs="Times New Roman"/>
          <w:i/>
          <w:lang w:val="fr-FR"/>
        </w:rPr>
        <w:t>Sur le plan médical, FEDRIS déclare qu’il y a des anomalies radiologiques modérées. »</w:t>
      </w:r>
    </w:p>
    <w:p w14:paraId="155A4787" w14:textId="77777777" w:rsidR="00212F2F" w:rsidRDefault="00212F2F" w:rsidP="00DA4D7C">
      <w:pPr>
        <w:tabs>
          <w:tab w:val="left" w:pos="-1440"/>
        </w:tabs>
        <w:snapToGrid w:val="0"/>
        <w:jc w:val="both"/>
        <w:rPr>
          <w:rFonts w:cs="Times New Roman"/>
          <w:lang w:val="fr-FR"/>
        </w:rPr>
      </w:pPr>
    </w:p>
    <w:p w14:paraId="4376D0D2" w14:textId="77777777" w:rsidR="00CD5C6A" w:rsidRDefault="00FD124E" w:rsidP="00DA4D7C">
      <w:pPr>
        <w:tabs>
          <w:tab w:val="left" w:pos="-1440"/>
        </w:tabs>
        <w:snapToGrid w:val="0"/>
        <w:jc w:val="both"/>
        <w:rPr>
          <w:rFonts w:cs="Times New Roman"/>
          <w:lang w:val="fr-FR"/>
        </w:rPr>
      </w:pPr>
      <w:r>
        <w:rPr>
          <w:rFonts w:cs="Times New Roman"/>
          <w:lang w:val="fr-FR"/>
        </w:rPr>
        <w:t xml:space="preserve">Aussi, par ses remarques écrites, le Docteur PAGETTI semble en total contradiction avec </w:t>
      </w:r>
      <w:r w:rsidR="00BF2532">
        <w:rPr>
          <w:rFonts w:cs="Times New Roman"/>
          <w:lang w:val="fr-FR"/>
        </w:rPr>
        <w:t>la décision de FEDRIS du 7 juin 2004 qui a reconnu la maladie professionnelle.  Dès lors, le tribunal en conclut qu’il ne s’agissait pas de lésions dégénératives normalement attendues chez une personne de 45 ans.</w:t>
      </w:r>
    </w:p>
    <w:p w14:paraId="4035ECC5" w14:textId="77777777" w:rsidR="00BF2532" w:rsidRDefault="00BF2532" w:rsidP="00DA4D7C">
      <w:pPr>
        <w:tabs>
          <w:tab w:val="left" w:pos="-1440"/>
        </w:tabs>
        <w:snapToGrid w:val="0"/>
        <w:jc w:val="both"/>
        <w:rPr>
          <w:rFonts w:cs="Times New Roman"/>
          <w:lang w:val="fr-FR"/>
        </w:rPr>
      </w:pPr>
    </w:p>
    <w:p w14:paraId="6FC90B4B" w14:textId="77777777" w:rsidR="00BF2532" w:rsidRDefault="00BF2532" w:rsidP="00DA4D7C">
      <w:pPr>
        <w:tabs>
          <w:tab w:val="left" w:pos="-1440"/>
        </w:tabs>
        <w:snapToGrid w:val="0"/>
        <w:jc w:val="both"/>
        <w:rPr>
          <w:rFonts w:cs="Times New Roman"/>
          <w:i/>
          <w:lang w:val="fr-FR"/>
        </w:rPr>
      </w:pPr>
      <w:r>
        <w:rPr>
          <w:rFonts w:cs="Times New Roman"/>
          <w:lang w:val="fr-FR"/>
        </w:rPr>
        <w:t xml:space="preserve">Par ailleurs, actuellement, l’expert judiciaire </w:t>
      </w:r>
      <w:r w:rsidR="0032541C">
        <w:rPr>
          <w:rFonts w:cs="Times New Roman"/>
          <w:lang w:val="fr-FR"/>
        </w:rPr>
        <w:t>conclut en page 13 : « </w:t>
      </w:r>
      <w:r w:rsidR="0032541C">
        <w:rPr>
          <w:rFonts w:cs="Times New Roman"/>
          <w:i/>
          <w:lang w:val="fr-FR"/>
        </w:rPr>
        <w:t xml:space="preserve">Monsieur </w:t>
      </w:r>
      <w:r w:rsidR="00980631">
        <w:rPr>
          <w:rFonts w:cs="Times New Roman"/>
          <w:i/>
          <w:lang w:val="fr-FR"/>
        </w:rPr>
        <w:t xml:space="preserve">C. </w:t>
      </w:r>
      <w:r w:rsidR="0032541C">
        <w:rPr>
          <w:rFonts w:cs="Times New Roman"/>
          <w:i/>
          <w:lang w:val="fr-FR"/>
        </w:rPr>
        <w:t>présente bien une lombarthrose, maladie pour laquelle la réparation suite à une aggravation est demandée.</w:t>
      </w:r>
    </w:p>
    <w:p w14:paraId="0EC33243" w14:textId="77777777" w:rsidR="0032541C" w:rsidRDefault="0032541C" w:rsidP="00DA4D7C">
      <w:pPr>
        <w:tabs>
          <w:tab w:val="left" w:pos="-1440"/>
        </w:tabs>
        <w:snapToGrid w:val="0"/>
        <w:jc w:val="both"/>
        <w:rPr>
          <w:rFonts w:cs="Times New Roman"/>
          <w:i/>
          <w:lang w:val="fr-FR"/>
        </w:rPr>
      </w:pPr>
      <w:r>
        <w:rPr>
          <w:rFonts w:cs="Times New Roman"/>
          <w:i/>
          <w:lang w:val="fr-FR"/>
        </w:rPr>
        <w:t>Les plaintes, l’examen clinique et l’examen radiologique nous permettent de dire que l’affection est aggravée depuis qu’elle a été reconnue d’origine professionnelle en 2004.</w:t>
      </w:r>
      <w:r w:rsidR="008716AB">
        <w:rPr>
          <w:rFonts w:cs="Times New Roman"/>
          <w:i/>
          <w:lang w:val="fr-FR"/>
        </w:rPr>
        <w:t> »</w:t>
      </w:r>
    </w:p>
    <w:p w14:paraId="716BEB1C" w14:textId="77777777" w:rsidR="008716AB" w:rsidRDefault="008716AB" w:rsidP="00DA4D7C">
      <w:pPr>
        <w:tabs>
          <w:tab w:val="left" w:pos="-1440"/>
        </w:tabs>
        <w:snapToGrid w:val="0"/>
        <w:jc w:val="both"/>
        <w:rPr>
          <w:rFonts w:cs="Times New Roman"/>
          <w:i/>
          <w:lang w:val="fr-FR"/>
        </w:rPr>
      </w:pPr>
    </w:p>
    <w:p w14:paraId="542788E8" w14:textId="77777777" w:rsidR="008716AB" w:rsidRDefault="008716AB" w:rsidP="00DA4D7C">
      <w:pPr>
        <w:tabs>
          <w:tab w:val="left" w:pos="-1440"/>
        </w:tabs>
        <w:snapToGrid w:val="0"/>
        <w:jc w:val="both"/>
        <w:rPr>
          <w:rFonts w:cs="Times New Roman"/>
          <w:i/>
          <w:lang w:val="fr-FR"/>
        </w:rPr>
      </w:pPr>
      <w:r>
        <w:rPr>
          <w:rFonts w:cs="Times New Roman"/>
          <w:lang w:val="fr-FR"/>
        </w:rPr>
        <w:t>Pour répondre à l’argumentation fournie par le médecin conseil de FEDRIS suite à l’envoi des préliminaires, l’expert judiciaire mentionne en page 18 de son rapport d’expertise : « </w:t>
      </w:r>
      <w:r>
        <w:rPr>
          <w:rFonts w:cs="Times New Roman"/>
          <w:i/>
          <w:lang w:val="fr-FR"/>
        </w:rPr>
        <w:t>La comparaison avec l’état antérieur</w:t>
      </w:r>
    </w:p>
    <w:p w14:paraId="0BBC1050" w14:textId="77777777" w:rsidR="008716AB" w:rsidRDefault="008716AB" w:rsidP="00DA4D7C">
      <w:pPr>
        <w:tabs>
          <w:tab w:val="left" w:pos="-1440"/>
        </w:tabs>
        <w:snapToGrid w:val="0"/>
        <w:jc w:val="both"/>
        <w:rPr>
          <w:rFonts w:cs="Times New Roman"/>
          <w:i/>
          <w:lang w:val="fr-FR"/>
        </w:rPr>
      </w:pPr>
      <w:r>
        <w:rPr>
          <w:rFonts w:cs="Times New Roman"/>
          <w:i/>
          <w:lang w:val="fr-FR"/>
        </w:rPr>
        <w:t xml:space="preserve">En 2004, la </w:t>
      </w:r>
      <w:proofErr w:type="spellStart"/>
      <w:r>
        <w:rPr>
          <w:rFonts w:cs="Times New Roman"/>
          <w:i/>
          <w:lang w:val="fr-FR"/>
        </w:rPr>
        <w:t>lombodiscarthrose</w:t>
      </w:r>
      <w:proofErr w:type="spellEnd"/>
      <w:r>
        <w:rPr>
          <w:rFonts w:cs="Times New Roman"/>
          <w:i/>
          <w:lang w:val="fr-FR"/>
        </w:rPr>
        <w:t xml:space="preserve"> présentée par le requérant est évaluée à 2 sur l’échelle de </w:t>
      </w:r>
      <w:proofErr w:type="spellStart"/>
      <w:r>
        <w:rPr>
          <w:rFonts w:cs="Times New Roman"/>
          <w:i/>
          <w:lang w:val="fr-FR"/>
        </w:rPr>
        <w:t>Kellgren</w:t>
      </w:r>
      <w:proofErr w:type="spellEnd"/>
      <w:r>
        <w:rPr>
          <w:rFonts w:cs="Times New Roman"/>
          <w:i/>
          <w:lang w:val="fr-FR"/>
        </w:rPr>
        <w:t xml:space="preserve"> à tous les niveaux lombaires.</w:t>
      </w:r>
    </w:p>
    <w:p w14:paraId="48CA9358" w14:textId="77777777" w:rsidR="008716AB" w:rsidRDefault="008716AB" w:rsidP="00DA4D7C">
      <w:pPr>
        <w:tabs>
          <w:tab w:val="left" w:pos="-1440"/>
        </w:tabs>
        <w:snapToGrid w:val="0"/>
        <w:jc w:val="both"/>
        <w:rPr>
          <w:rFonts w:cs="Times New Roman"/>
          <w:i/>
          <w:lang w:val="fr-FR"/>
        </w:rPr>
      </w:pPr>
      <w:r>
        <w:rPr>
          <w:rFonts w:cs="Times New Roman"/>
          <w:i/>
          <w:lang w:val="fr-FR"/>
        </w:rPr>
        <w:t>Si la plupart des étages lombaires avaient évolué sur un mode « </w:t>
      </w:r>
      <w:proofErr w:type="spellStart"/>
      <w:r>
        <w:rPr>
          <w:rFonts w:cs="Times New Roman"/>
          <w:i/>
          <w:lang w:val="fr-FR"/>
        </w:rPr>
        <w:t>Kellgren</w:t>
      </w:r>
      <w:proofErr w:type="spellEnd"/>
      <w:r>
        <w:rPr>
          <w:rFonts w:cs="Times New Roman"/>
          <w:i/>
          <w:lang w:val="fr-FR"/>
        </w:rPr>
        <w:t xml:space="preserve"> 3-4 », on aurait </w:t>
      </w:r>
      <w:r>
        <w:rPr>
          <w:rFonts w:cs="Times New Roman"/>
          <w:i/>
          <w:lang w:val="fr-FR"/>
        </w:rPr>
        <w:lastRenderedPageBreak/>
        <w:t>peut-être pu prétendre que l’évolution de l’arthrose était attendue en référence à l’article cité, mais l’évolution isolée de l’étage L4-L5 ne peut être déclarée normalement attendue.</w:t>
      </w:r>
    </w:p>
    <w:p w14:paraId="1E837F59" w14:textId="77777777" w:rsidR="008716AB" w:rsidRDefault="00D75988" w:rsidP="00DA4D7C">
      <w:pPr>
        <w:tabs>
          <w:tab w:val="left" w:pos="-1440"/>
        </w:tabs>
        <w:snapToGrid w:val="0"/>
        <w:jc w:val="both"/>
        <w:rPr>
          <w:rFonts w:cs="Times New Roman"/>
          <w:i/>
          <w:lang w:val="fr-FR"/>
        </w:rPr>
      </w:pPr>
      <w:r>
        <w:rPr>
          <w:rFonts w:cs="Times New Roman"/>
          <w:i/>
          <w:lang w:val="fr-FR"/>
        </w:rPr>
        <w:t>D’autre part, l’expert observe</w:t>
      </w:r>
      <w:r w:rsidR="00BD7772">
        <w:rPr>
          <w:rFonts w:cs="Times New Roman"/>
          <w:i/>
          <w:lang w:val="fr-FR"/>
        </w:rPr>
        <w:t>, à la lecture de l’article cité par le Docteur PAGGETTI, que l’évolution du rachis a été étudiée depuis la 4è vertèbre dorsale (T4) jusqu’à la 4è vertèbre lombaire (L4).</w:t>
      </w:r>
    </w:p>
    <w:p w14:paraId="35B92DC8" w14:textId="77777777" w:rsidR="00BD7772" w:rsidRPr="008716AB" w:rsidRDefault="00BD7772" w:rsidP="00DA4D7C">
      <w:pPr>
        <w:tabs>
          <w:tab w:val="left" w:pos="-1440"/>
        </w:tabs>
        <w:snapToGrid w:val="0"/>
        <w:jc w:val="both"/>
        <w:rPr>
          <w:rFonts w:cs="Times New Roman"/>
          <w:i/>
          <w:lang w:val="fr-FR"/>
        </w:rPr>
      </w:pPr>
      <w:r>
        <w:rPr>
          <w:rFonts w:cs="Times New Roman"/>
          <w:i/>
          <w:lang w:val="fr-FR"/>
        </w:rPr>
        <w:t>Les niveaux L4-L5 et L5-S1, que nous devons considérer dans le cas présent, n’ont donc pas été étudiés et l’étude citée ne peut dès lors servir de référence que pour les étages lombaires situés au-dessus des niveaux qui nous intéressent. »</w:t>
      </w:r>
    </w:p>
    <w:p w14:paraId="1C1E3131" w14:textId="77777777" w:rsidR="00CD5C6A" w:rsidRDefault="00CD5C6A" w:rsidP="00DA4D7C">
      <w:pPr>
        <w:tabs>
          <w:tab w:val="left" w:pos="-1440"/>
        </w:tabs>
        <w:snapToGrid w:val="0"/>
        <w:jc w:val="both"/>
        <w:rPr>
          <w:rFonts w:cs="Times New Roman"/>
          <w:lang w:val="fr-FR"/>
        </w:rPr>
      </w:pPr>
    </w:p>
    <w:p w14:paraId="4D51EEFB" w14:textId="77777777" w:rsidR="00BD7772" w:rsidRDefault="00BD7772" w:rsidP="00DA4D7C">
      <w:pPr>
        <w:tabs>
          <w:tab w:val="left" w:pos="-1440"/>
        </w:tabs>
        <w:snapToGrid w:val="0"/>
        <w:jc w:val="both"/>
        <w:rPr>
          <w:rFonts w:cs="Times New Roman"/>
          <w:lang w:val="fr-FR"/>
        </w:rPr>
      </w:pPr>
    </w:p>
    <w:p w14:paraId="5B49E647" w14:textId="77777777" w:rsidR="00D02E44" w:rsidRPr="00D02E44" w:rsidRDefault="00D02E44" w:rsidP="00D02E44">
      <w:pPr>
        <w:jc w:val="both"/>
        <w:rPr>
          <w:rFonts w:eastAsia="Cambria" w:cs="Times New Roman"/>
          <w:lang w:val="fr-FR"/>
        </w:rPr>
      </w:pPr>
      <w:r>
        <w:rPr>
          <w:rFonts w:eastAsia="Cambria" w:cs="Times New Roman"/>
          <w:lang w:val="fr-FR"/>
        </w:rPr>
        <w:t>En conclusion, i</w:t>
      </w:r>
      <w:r w:rsidRPr="00D02E44">
        <w:rPr>
          <w:rFonts w:eastAsia="Cambria" w:cs="Times New Roman"/>
          <w:lang w:val="fr-FR"/>
        </w:rPr>
        <w:t>l n’est pas contesté que M</w:t>
      </w:r>
      <w:r>
        <w:rPr>
          <w:rFonts w:eastAsia="Cambria" w:cs="Times New Roman"/>
          <w:lang w:val="fr-FR"/>
        </w:rPr>
        <w:t xml:space="preserve">onsieur </w:t>
      </w:r>
      <w:r w:rsidR="00980631">
        <w:rPr>
          <w:rFonts w:eastAsia="Cambria" w:cs="Times New Roman"/>
          <w:lang w:val="fr-FR"/>
        </w:rPr>
        <w:t xml:space="preserve">C. </w:t>
      </w:r>
      <w:r w:rsidRPr="00D02E44">
        <w:rPr>
          <w:rFonts w:eastAsia="Cambria" w:cs="Times New Roman"/>
          <w:lang w:val="fr-FR"/>
        </w:rPr>
        <w:t>présente une pathologie lombaire.</w:t>
      </w:r>
    </w:p>
    <w:p w14:paraId="3D141C7E" w14:textId="77777777" w:rsidR="00D02E44" w:rsidRPr="00D02E44" w:rsidRDefault="00D02E44" w:rsidP="00D02E44">
      <w:pPr>
        <w:jc w:val="both"/>
        <w:rPr>
          <w:rFonts w:eastAsia="Cambria" w:cs="Times New Roman"/>
          <w:lang w:val="fr-FR"/>
        </w:rPr>
      </w:pPr>
      <w:r>
        <w:rPr>
          <w:rFonts w:eastAsia="Cambria" w:cs="Times New Roman"/>
          <w:lang w:val="fr-FR"/>
        </w:rPr>
        <w:t>Les parties considèrent</w:t>
      </w:r>
      <w:r w:rsidRPr="00D02E44">
        <w:rPr>
          <w:rFonts w:eastAsia="Cambria" w:cs="Times New Roman"/>
          <w:lang w:val="fr-FR"/>
        </w:rPr>
        <w:t xml:space="preserve"> que cette pathologie ne répond pas aux critères du code 1.605.03 et que la demande s’envisage donc dans le système hors liste.</w:t>
      </w:r>
    </w:p>
    <w:p w14:paraId="4795DA6D" w14:textId="77777777" w:rsidR="00D02E44" w:rsidRPr="00D02E44" w:rsidRDefault="00D02E44" w:rsidP="00D02E44">
      <w:pPr>
        <w:jc w:val="both"/>
        <w:rPr>
          <w:rFonts w:cs="Times New Roman"/>
        </w:rPr>
      </w:pPr>
      <w:r w:rsidRPr="00D02E44">
        <w:rPr>
          <w:rFonts w:cs="Times New Roman"/>
        </w:rPr>
        <w:t>M</w:t>
      </w:r>
      <w:r>
        <w:rPr>
          <w:rFonts w:cs="Times New Roman"/>
        </w:rPr>
        <w:t xml:space="preserve">onsieur </w:t>
      </w:r>
      <w:r w:rsidR="00980631">
        <w:rPr>
          <w:rFonts w:cs="Times New Roman"/>
        </w:rPr>
        <w:t xml:space="preserve">C. </w:t>
      </w:r>
      <w:r w:rsidRPr="00D02E44">
        <w:rPr>
          <w:rFonts w:cs="Times New Roman"/>
        </w:rPr>
        <w:t>a été reconnu atteint d’une maladie reprise sous le code 1.605.</w:t>
      </w:r>
      <w:r>
        <w:rPr>
          <w:rFonts w:cs="Times New Roman"/>
        </w:rPr>
        <w:t>12 et plus précisément d’une spondylarthrose lombaire</w:t>
      </w:r>
      <w:r w:rsidRPr="00D02E44">
        <w:rPr>
          <w:rFonts w:cs="Times New Roman"/>
        </w:rPr>
        <w:t xml:space="preserve"> provoquée par les vibrations mécaniques et ce depuis la date du </w:t>
      </w:r>
      <w:r>
        <w:rPr>
          <w:rFonts w:cs="Times New Roman"/>
        </w:rPr>
        <w:t>09 avril 1999</w:t>
      </w:r>
      <w:r w:rsidRPr="00D02E44">
        <w:rPr>
          <w:rFonts w:cs="Times New Roman"/>
        </w:rPr>
        <w:t>.</w:t>
      </w:r>
    </w:p>
    <w:p w14:paraId="5AE95A78" w14:textId="77777777" w:rsidR="00D02E44" w:rsidRPr="00D02E44" w:rsidRDefault="00D02E44" w:rsidP="00D02E44">
      <w:pPr>
        <w:jc w:val="both"/>
        <w:rPr>
          <w:rFonts w:cs="Times New Roman"/>
        </w:rPr>
      </w:pPr>
      <w:r w:rsidRPr="00D02E44">
        <w:rPr>
          <w:rFonts w:cs="Times New Roman"/>
        </w:rPr>
        <w:t>Il n’est pas contesté que cette maladie s’est aggravée depuis cette date.</w:t>
      </w:r>
    </w:p>
    <w:p w14:paraId="45408363" w14:textId="77777777" w:rsidR="00D02E44" w:rsidRDefault="00D02E44" w:rsidP="00DA4D7C">
      <w:pPr>
        <w:tabs>
          <w:tab w:val="left" w:pos="-1440"/>
        </w:tabs>
        <w:snapToGrid w:val="0"/>
        <w:jc w:val="both"/>
        <w:rPr>
          <w:rFonts w:cs="Times New Roman"/>
          <w:lang w:val="fr-FR"/>
        </w:rPr>
      </w:pPr>
    </w:p>
    <w:p w14:paraId="56FD45FB" w14:textId="77777777" w:rsidR="002C28A3" w:rsidRDefault="002C28A3" w:rsidP="00DA4D7C">
      <w:pPr>
        <w:tabs>
          <w:tab w:val="left" w:pos="-1440"/>
        </w:tabs>
        <w:snapToGrid w:val="0"/>
        <w:jc w:val="both"/>
        <w:rPr>
          <w:rFonts w:cs="Times New Roman"/>
          <w:lang w:val="fr-FR"/>
        </w:rPr>
      </w:pPr>
    </w:p>
    <w:p w14:paraId="4D727FEE" w14:textId="77777777" w:rsidR="002C28A3" w:rsidRPr="002C28A3" w:rsidRDefault="002C28A3" w:rsidP="002C28A3">
      <w:pPr>
        <w:pStyle w:val="Paragraphedeliste"/>
        <w:numPr>
          <w:ilvl w:val="0"/>
          <w:numId w:val="25"/>
        </w:numPr>
        <w:tabs>
          <w:tab w:val="left" w:pos="-1440"/>
        </w:tabs>
        <w:snapToGrid w:val="0"/>
        <w:jc w:val="both"/>
        <w:rPr>
          <w:rFonts w:cs="Times New Roman"/>
          <w:lang w:val="fr-FR"/>
        </w:rPr>
      </w:pPr>
      <w:r>
        <w:rPr>
          <w:rFonts w:cs="Times New Roman"/>
          <w:lang w:val="fr-FR"/>
        </w:rPr>
        <w:t>L’exposition au risque professionnel.</w:t>
      </w:r>
    </w:p>
    <w:p w14:paraId="3CA2ADD2" w14:textId="77777777" w:rsidR="002C28A3" w:rsidRDefault="002C28A3" w:rsidP="00DA4D7C">
      <w:pPr>
        <w:tabs>
          <w:tab w:val="left" w:pos="-1440"/>
        </w:tabs>
        <w:snapToGrid w:val="0"/>
        <w:jc w:val="both"/>
        <w:rPr>
          <w:rFonts w:cs="Times New Roman"/>
          <w:lang w:val="fr-FR"/>
        </w:rPr>
      </w:pPr>
    </w:p>
    <w:p w14:paraId="47F31B65" w14:textId="77777777" w:rsidR="00D02E44" w:rsidRDefault="00BD7772" w:rsidP="00D02E44">
      <w:pPr>
        <w:tabs>
          <w:tab w:val="left" w:pos="-1440"/>
        </w:tabs>
        <w:snapToGrid w:val="0"/>
        <w:jc w:val="both"/>
        <w:rPr>
          <w:rFonts w:ascii="Calibri" w:eastAsia="Cambria" w:hAnsi="Calibri" w:cs="Calibri"/>
          <w:lang w:val="fr-FR"/>
        </w:rPr>
      </w:pPr>
      <w:r w:rsidRPr="002C28A3">
        <w:rPr>
          <w:rFonts w:cs="Times New Roman"/>
          <w:lang w:val="fr-FR"/>
        </w:rPr>
        <w:t>En ce qui concerne</w:t>
      </w:r>
      <w:r>
        <w:rPr>
          <w:rFonts w:cs="Times New Roman"/>
          <w:b/>
          <w:lang w:val="fr-FR"/>
        </w:rPr>
        <w:t xml:space="preserve"> l’exposition au risque professionnel</w:t>
      </w:r>
      <w:r>
        <w:rPr>
          <w:rFonts w:cs="Times New Roman"/>
          <w:lang w:val="fr-FR"/>
        </w:rPr>
        <w:t xml:space="preserve">, </w:t>
      </w:r>
      <w:r w:rsidR="00D02E44">
        <w:rPr>
          <w:rFonts w:cs="Times New Roman"/>
          <w:lang w:val="fr-FR"/>
        </w:rPr>
        <w:t>celle-ci est présumée dans le secteur public et fut admise pour le code 1.605.12.</w:t>
      </w:r>
    </w:p>
    <w:p w14:paraId="546EBDD1" w14:textId="77777777" w:rsidR="00D02E44" w:rsidRPr="00D02E44" w:rsidRDefault="00D02E44" w:rsidP="00D02E44">
      <w:pPr>
        <w:autoSpaceDE w:val="0"/>
        <w:adjustRightInd w:val="0"/>
        <w:jc w:val="both"/>
        <w:rPr>
          <w:rFonts w:eastAsia="Cambria" w:cs="Times New Roman"/>
          <w:lang w:val="fr-FR"/>
        </w:rPr>
      </w:pPr>
      <w:r w:rsidRPr="00D02E44">
        <w:rPr>
          <w:rFonts w:eastAsia="Cambria" w:cs="Times New Roman"/>
          <w:lang w:val="fr-FR"/>
        </w:rPr>
        <w:t>Elle l’est également au regard de l’aggravation.</w:t>
      </w:r>
    </w:p>
    <w:p w14:paraId="3774E9BF" w14:textId="77777777" w:rsidR="00D02E44" w:rsidRPr="00D02E44" w:rsidRDefault="00D02E44" w:rsidP="00D02E44">
      <w:pPr>
        <w:autoSpaceDE w:val="0"/>
        <w:adjustRightInd w:val="0"/>
        <w:jc w:val="both"/>
        <w:rPr>
          <w:rFonts w:eastAsia="Cambria" w:cs="Times New Roman"/>
          <w:lang w:val="fr-FR"/>
        </w:rPr>
      </w:pPr>
      <w:r w:rsidRPr="00D02E44">
        <w:rPr>
          <w:rFonts w:eastAsia="Cambria" w:cs="Times New Roman"/>
          <w:lang w:val="fr-FR"/>
        </w:rPr>
        <w:t xml:space="preserve">Il est donc établi que </w:t>
      </w:r>
      <w:r w:rsidR="00667EE3">
        <w:rPr>
          <w:rFonts w:eastAsia="Cambria" w:cs="Times New Roman"/>
          <w:lang w:val="fr-FR"/>
        </w:rPr>
        <w:t xml:space="preserve">Monsieur </w:t>
      </w:r>
      <w:r w:rsidR="00980631">
        <w:rPr>
          <w:rFonts w:eastAsia="Cambria" w:cs="Times New Roman"/>
          <w:lang w:val="fr-FR"/>
        </w:rPr>
        <w:t xml:space="preserve">C. </w:t>
      </w:r>
      <w:r w:rsidRPr="00D02E44">
        <w:rPr>
          <w:rFonts w:eastAsia="Cambria" w:cs="Times New Roman"/>
          <w:lang w:val="fr-FR"/>
        </w:rPr>
        <w:t xml:space="preserve">a été exposé au risque de contracter une </w:t>
      </w:r>
      <w:r w:rsidR="00E65765">
        <w:rPr>
          <w:rFonts w:eastAsia="Cambria" w:cs="Times New Roman"/>
          <w:lang w:val="fr-FR"/>
        </w:rPr>
        <w:t>arthrose vibratoire au niveau de la colonne lombaire en sa qualité de chauffeur</w:t>
      </w:r>
      <w:r w:rsidRPr="00D02E44">
        <w:rPr>
          <w:rFonts w:eastAsia="Cambria" w:cs="Times New Roman"/>
          <w:lang w:val="fr-FR"/>
        </w:rPr>
        <w:t xml:space="preserve"> provoquée par des </w:t>
      </w:r>
      <w:r w:rsidRPr="00D02E44">
        <w:rPr>
          <w:rFonts w:eastAsia="Calibri" w:cs="Times New Roman"/>
        </w:rPr>
        <w:t xml:space="preserve">vibrations mécaniques transmises au corps par le siège </w:t>
      </w:r>
      <w:r w:rsidR="00E65765">
        <w:rPr>
          <w:rFonts w:eastAsia="Calibri" w:cs="Times New Roman"/>
        </w:rPr>
        <w:t>(conclusions médico-administratives du 07 juin 2004)</w:t>
      </w:r>
      <w:r w:rsidRPr="00D02E44">
        <w:rPr>
          <w:rFonts w:eastAsia="Calibri" w:cs="Times New Roman"/>
        </w:rPr>
        <w:t>.</w:t>
      </w:r>
    </w:p>
    <w:p w14:paraId="1B3810AB" w14:textId="77777777" w:rsidR="00DA4D7C" w:rsidRPr="00662527" w:rsidRDefault="00DA4D7C" w:rsidP="00D02E44">
      <w:pPr>
        <w:tabs>
          <w:tab w:val="left" w:pos="-1440"/>
        </w:tabs>
        <w:snapToGrid w:val="0"/>
        <w:jc w:val="both"/>
        <w:rPr>
          <w:rFonts w:cs="Times New Roman"/>
          <w:lang w:val="fr-FR"/>
        </w:rPr>
      </w:pPr>
    </w:p>
    <w:p w14:paraId="50E42026" w14:textId="77777777" w:rsidR="00DA4D7C" w:rsidRDefault="00DA4D7C" w:rsidP="00DA4D7C">
      <w:pPr>
        <w:tabs>
          <w:tab w:val="left" w:pos="-1440"/>
        </w:tabs>
        <w:snapToGrid w:val="0"/>
        <w:jc w:val="both"/>
        <w:rPr>
          <w:rFonts w:cs="Times New Roman"/>
        </w:rPr>
      </w:pPr>
    </w:p>
    <w:p w14:paraId="5AB23C34" w14:textId="77777777" w:rsidR="002C28A3" w:rsidRPr="002C28A3" w:rsidRDefault="002C28A3" w:rsidP="002C28A3">
      <w:pPr>
        <w:pStyle w:val="Paragraphedeliste"/>
        <w:numPr>
          <w:ilvl w:val="0"/>
          <w:numId w:val="25"/>
        </w:numPr>
        <w:tabs>
          <w:tab w:val="left" w:pos="-1440"/>
        </w:tabs>
        <w:snapToGrid w:val="0"/>
        <w:jc w:val="both"/>
        <w:rPr>
          <w:rFonts w:cs="Times New Roman"/>
        </w:rPr>
      </w:pPr>
      <w:r>
        <w:rPr>
          <w:rFonts w:cs="Times New Roman"/>
        </w:rPr>
        <w:t>Le lien direct et déterminant.</w:t>
      </w:r>
    </w:p>
    <w:p w14:paraId="02BC6E09" w14:textId="77777777" w:rsidR="002C28A3" w:rsidRDefault="002C28A3" w:rsidP="00DA4D7C">
      <w:pPr>
        <w:tabs>
          <w:tab w:val="left" w:pos="-1440"/>
        </w:tabs>
        <w:snapToGrid w:val="0"/>
        <w:jc w:val="both"/>
        <w:rPr>
          <w:rFonts w:cs="Times New Roman"/>
        </w:rPr>
      </w:pPr>
    </w:p>
    <w:p w14:paraId="11D60C44" w14:textId="77777777" w:rsidR="002C28A3" w:rsidRPr="00662527" w:rsidRDefault="002C28A3" w:rsidP="00DA4D7C">
      <w:pPr>
        <w:tabs>
          <w:tab w:val="left" w:pos="-1440"/>
        </w:tabs>
        <w:snapToGrid w:val="0"/>
        <w:jc w:val="both"/>
        <w:rPr>
          <w:rFonts w:cs="Times New Roman"/>
        </w:rPr>
      </w:pPr>
    </w:p>
    <w:p w14:paraId="5BA13AA3" w14:textId="77777777" w:rsidR="00360DEF" w:rsidRPr="006E7DEA" w:rsidRDefault="00360DEF" w:rsidP="00360DEF">
      <w:pPr>
        <w:tabs>
          <w:tab w:val="left" w:pos="1985"/>
        </w:tabs>
        <w:jc w:val="both"/>
        <w:rPr>
          <w:rFonts w:cs="Times New Roman"/>
          <w:b/>
          <w:lang w:eastAsia="en-GB"/>
        </w:rPr>
      </w:pPr>
      <w:r w:rsidRPr="00905B54">
        <w:rPr>
          <w:rFonts w:cs="Times New Roman"/>
          <w:lang w:eastAsia="en-GB"/>
        </w:rPr>
        <w:t xml:space="preserve">FEDRIS conteste </w:t>
      </w:r>
      <w:r w:rsidRPr="006E7DEA">
        <w:rPr>
          <w:rFonts w:cs="Times New Roman"/>
          <w:b/>
          <w:lang w:eastAsia="en-GB"/>
        </w:rPr>
        <w:t>l’existence d’un lien causal direct et déterminant entre la maladie aggravée et l’exposition au risque professionnel.</w:t>
      </w:r>
    </w:p>
    <w:p w14:paraId="535356F4" w14:textId="77777777" w:rsidR="00360DEF" w:rsidRPr="00905B54" w:rsidRDefault="00360DEF" w:rsidP="00360DEF">
      <w:pPr>
        <w:tabs>
          <w:tab w:val="left" w:pos="1985"/>
        </w:tabs>
        <w:jc w:val="both"/>
        <w:rPr>
          <w:rFonts w:cs="Times New Roman"/>
          <w:i/>
          <w:lang w:eastAsia="en-GB"/>
        </w:rPr>
      </w:pPr>
    </w:p>
    <w:p w14:paraId="3F3BC361" w14:textId="77777777" w:rsidR="00360DEF" w:rsidRPr="00360DEF" w:rsidRDefault="00360DEF" w:rsidP="00360DEF">
      <w:pPr>
        <w:tabs>
          <w:tab w:val="left" w:pos="1985"/>
        </w:tabs>
        <w:jc w:val="both"/>
        <w:rPr>
          <w:rFonts w:cs="Times New Roman"/>
          <w:vertAlign w:val="superscript"/>
          <w:lang w:eastAsia="en-GB"/>
        </w:rPr>
      </w:pPr>
      <w:r w:rsidRPr="00360DEF">
        <w:rPr>
          <w:rFonts w:cs="Times New Roman"/>
          <w:i/>
          <w:lang w:eastAsia="en-GB"/>
        </w:rPr>
        <w:t>Ce lien causal direct et déterminant entre la maladie (et son aggravation) et l’exposition au risque professionnel de la contracter doit être établi dans le cadre d’une reconnaissance hors liste de l’aggravation. La reconnaissance antérieure repose sur une présomption irréfragable de causalité qui ne peut donc pas soutenir la demande hors liste.</w:t>
      </w:r>
      <w:r w:rsidRPr="00360DEF">
        <w:rPr>
          <w:rStyle w:val="Appelnotedebasdep"/>
          <w:rFonts w:cs="Times New Roman"/>
          <w:vertAlign w:val="superscript"/>
          <w:lang w:eastAsia="en-GB"/>
        </w:rPr>
        <w:footnoteReference w:id="21"/>
      </w:r>
    </w:p>
    <w:p w14:paraId="72C339ED" w14:textId="77777777" w:rsidR="00360DEF" w:rsidRDefault="00360DEF" w:rsidP="00E647CF">
      <w:pPr>
        <w:tabs>
          <w:tab w:val="left" w:pos="-1440"/>
        </w:tabs>
        <w:snapToGrid w:val="0"/>
        <w:jc w:val="both"/>
        <w:rPr>
          <w:rFonts w:cs="Times New Roman"/>
        </w:rPr>
      </w:pPr>
    </w:p>
    <w:p w14:paraId="46922332" w14:textId="77777777" w:rsidR="00360DEF" w:rsidRDefault="00360DEF" w:rsidP="00E647CF">
      <w:pPr>
        <w:tabs>
          <w:tab w:val="left" w:pos="-1440"/>
        </w:tabs>
        <w:snapToGrid w:val="0"/>
        <w:jc w:val="both"/>
        <w:rPr>
          <w:rFonts w:cs="Times New Roman"/>
        </w:rPr>
      </w:pPr>
    </w:p>
    <w:p w14:paraId="6F5D16CB" w14:textId="77777777" w:rsidR="00E647CF" w:rsidRDefault="00E647CF" w:rsidP="00E647CF">
      <w:pPr>
        <w:tabs>
          <w:tab w:val="left" w:pos="-1440"/>
        </w:tabs>
        <w:snapToGrid w:val="0"/>
        <w:jc w:val="both"/>
        <w:rPr>
          <w:rFonts w:cs="Times New Roman"/>
        </w:rPr>
      </w:pPr>
      <w:r>
        <w:rPr>
          <w:rFonts w:cs="Times New Roman"/>
        </w:rPr>
        <w:t>Pour rappel, la cause doit être réelle et manifeste, mais elle ne doit être ni exclusive ni même principale.</w:t>
      </w:r>
    </w:p>
    <w:p w14:paraId="61405D95" w14:textId="77777777" w:rsidR="00E647CF" w:rsidRDefault="00E647CF" w:rsidP="00E647CF">
      <w:pPr>
        <w:tabs>
          <w:tab w:val="left" w:pos="-1440"/>
        </w:tabs>
        <w:snapToGrid w:val="0"/>
        <w:jc w:val="both"/>
        <w:rPr>
          <w:rFonts w:cs="Times New Roman"/>
        </w:rPr>
      </w:pPr>
    </w:p>
    <w:p w14:paraId="7D53166F" w14:textId="77777777" w:rsidR="00E647CF" w:rsidRDefault="00E647CF" w:rsidP="00E647CF">
      <w:pPr>
        <w:tabs>
          <w:tab w:val="left" w:pos="-1440"/>
        </w:tabs>
        <w:snapToGrid w:val="0"/>
        <w:jc w:val="both"/>
        <w:rPr>
          <w:rFonts w:cs="Times New Roman"/>
        </w:rPr>
      </w:pPr>
      <w:r>
        <w:rPr>
          <w:rFonts w:cs="Times New Roman"/>
        </w:rPr>
        <w:t>En conséquence, il s’agit d’analyser si en raison de l’exposition au risque professionnel, la maladie revendiquée a été aggravée.</w:t>
      </w:r>
    </w:p>
    <w:p w14:paraId="7790A372" w14:textId="77777777" w:rsidR="00E647CF" w:rsidRDefault="00E647CF" w:rsidP="00E647CF">
      <w:pPr>
        <w:tabs>
          <w:tab w:val="left" w:pos="-1440"/>
        </w:tabs>
        <w:snapToGrid w:val="0"/>
        <w:jc w:val="both"/>
        <w:rPr>
          <w:rFonts w:cs="Times New Roman"/>
        </w:rPr>
      </w:pPr>
    </w:p>
    <w:p w14:paraId="02DB47D3" w14:textId="77777777" w:rsidR="00E647CF" w:rsidRPr="0024288E" w:rsidRDefault="00E647CF" w:rsidP="00E647CF">
      <w:pPr>
        <w:tabs>
          <w:tab w:val="left" w:pos="-1440"/>
        </w:tabs>
        <w:snapToGrid w:val="0"/>
        <w:jc w:val="both"/>
        <w:rPr>
          <w:rFonts w:cs="Times New Roman"/>
          <w:vertAlign w:val="superscript"/>
        </w:rPr>
      </w:pPr>
      <w:r>
        <w:rPr>
          <w:rFonts w:cs="Times New Roman"/>
        </w:rPr>
        <w:t>Aussi, « </w:t>
      </w:r>
      <w:r>
        <w:rPr>
          <w:rFonts w:cs="Times New Roman"/>
          <w:i/>
        </w:rPr>
        <w:t xml:space="preserve">une fois que l’expert et après lui le juge estiment que le lien causal déterminant </w:t>
      </w:r>
      <w:r>
        <w:rPr>
          <w:rFonts w:cs="Times New Roman"/>
          <w:i/>
        </w:rPr>
        <w:lastRenderedPageBreak/>
        <w:t xml:space="preserve">et direct entre l’exposition au risque et la maladie est prouvé, il n’est pas nécessaire d’examiner de manière détaillée tous les autres facteurs susceptibles d’avoir une incidence sur l’apparition et le développement de la maladie professionnelle. Les autres facteurs étiologiques ne pourront en effet jamais gommer l’impact de l’exposition au risque, </w:t>
      </w:r>
      <w:proofErr w:type="spellStart"/>
      <w:r>
        <w:rPr>
          <w:rFonts w:cs="Times New Roman"/>
          <w:i/>
        </w:rPr>
        <w:t>fût-il</w:t>
      </w:r>
      <w:proofErr w:type="spellEnd"/>
      <w:r>
        <w:rPr>
          <w:rFonts w:cs="Times New Roman"/>
          <w:i/>
        </w:rPr>
        <w:t xml:space="preserve"> modeste, sur l’apparition et/ou développement de la maladie. »</w:t>
      </w:r>
      <w:r w:rsidRPr="0024288E">
        <w:rPr>
          <w:rStyle w:val="Appelnotedebasdep"/>
          <w:rFonts w:cs="Times New Roman"/>
          <w:vertAlign w:val="superscript"/>
        </w:rPr>
        <w:footnoteReference w:id="22"/>
      </w:r>
    </w:p>
    <w:p w14:paraId="315F236C" w14:textId="77777777" w:rsidR="00E647CF" w:rsidRDefault="00E647CF" w:rsidP="00E647CF">
      <w:pPr>
        <w:tabs>
          <w:tab w:val="left" w:pos="-1440"/>
        </w:tabs>
        <w:snapToGrid w:val="0"/>
        <w:jc w:val="both"/>
        <w:rPr>
          <w:rFonts w:cs="Times New Roman"/>
        </w:rPr>
      </w:pPr>
    </w:p>
    <w:p w14:paraId="29DEC1CD" w14:textId="77777777" w:rsidR="00E647CF" w:rsidRPr="00662527" w:rsidRDefault="00E647CF" w:rsidP="00E647CF">
      <w:pPr>
        <w:tabs>
          <w:tab w:val="left" w:pos="-1440"/>
        </w:tabs>
        <w:snapToGrid w:val="0"/>
        <w:jc w:val="both"/>
        <w:rPr>
          <w:rFonts w:cs="Times New Roman"/>
          <w:i/>
        </w:rPr>
      </w:pPr>
    </w:p>
    <w:p w14:paraId="61BD9E9A" w14:textId="77777777" w:rsidR="0024288E" w:rsidRDefault="0024288E" w:rsidP="00E647CF">
      <w:pPr>
        <w:tabs>
          <w:tab w:val="left" w:pos="-1440"/>
        </w:tabs>
        <w:snapToGrid w:val="0"/>
        <w:jc w:val="both"/>
        <w:rPr>
          <w:rFonts w:cs="Times New Roman"/>
        </w:rPr>
      </w:pPr>
      <w:r>
        <w:rPr>
          <w:rFonts w:cs="Times New Roman"/>
        </w:rPr>
        <w:t xml:space="preserve">Le tribunal constate que </w:t>
      </w:r>
      <w:r w:rsidR="00E647CF" w:rsidRPr="00662527">
        <w:rPr>
          <w:rFonts w:cs="Times New Roman"/>
        </w:rPr>
        <w:t xml:space="preserve">l’ensemble des objections émises par FEDRIS au cours de l’expertise quant à l’existence d’autres causes ayant pu entraîner l’apparition de la maladie professionnelle </w:t>
      </w:r>
      <w:r>
        <w:rPr>
          <w:rFonts w:cs="Times New Roman"/>
        </w:rPr>
        <w:t>ont été analysées par l’expert.</w:t>
      </w:r>
    </w:p>
    <w:p w14:paraId="427A5E93" w14:textId="77777777" w:rsidR="0024288E" w:rsidRDefault="0024288E" w:rsidP="00E647CF">
      <w:pPr>
        <w:tabs>
          <w:tab w:val="left" w:pos="-1440"/>
        </w:tabs>
        <w:snapToGrid w:val="0"/>
        <w:jc w:val="both"/>
        <w:rPr>
          <w:rFonts w:cs="Times New Roman"/>
        </w:rPr>
      </w:pPr>
    </w:p>
    <w:p w14:paraId="6B8B0511" w14:textId="77777777" w:rsidR="001C6AE8" w:rsidRDefault="00E647CF" w:rsidP="00E647CF">
      <w:pPr>
        <w:tabs>
          <w:tab w:val="left" w:pos="-1440"/>
        </w:tabs>
        <w:snapToGrid w:val="0"/>
        <w:jc w:val="both"/>
        <w:rPr>
          <w:rFonts w:cs="Times New Roman"/>
        </w:rPr>
      </w:pPr>
      <w:r w:rsidRPr="00662527">
        <w:rPr>
          <w:rFonts w:cs="Times New Roman"/>
        </w:rPr>
        <w:t xml:space="preserve">Ainsi, l’expert </w:t>
      </w:r>
      <w:r w:rsidR="001C6AE8">
        <w:rPr>
          <w:rFonts w:cs="Times New Roman"/>
        </w:rPr>
        <w:t>relève en pages 13 et 14, l’absence d’antécédents traumatiques, de pathologie rhumatismale, endocrinienne ou métabolique, pas d’antécédents de déformation ou de maladie rachidienne, pas de médication contraignante pour le dos ou d’antécédents héréditaires ou familiaux.</w:t>
      </w:r>
    </w:p>
    <w:p w14:paraId="4F4E4AF2" w14:textId="77777777" w:rsidR="00812C2B" w:rsidRDefault="00812C2B" w:rsidP="00E647CF">
      <w:pPr>
        <w:tabs>
          <w:tab w:val="left" w:pos="-1440"/>
        </w:tabs>
        <w:snapToGrid w:val="0"/>
        <w:jc w:val="both"/>
        <w:rPr>
          <w:rFonts w:cs="Times New Roman"/>
        </w:rPr>
      </w:pPr>
      <w:r>
        <w:rPr>
          <w:rFonts w:cs="Times New Roman"/>
        </w:rPr>
        <w:t>Le poids et la masse grasse ne peuvent être suspectés de jouer un rôle sur le rachis lombaire.</w:t>
      </w:r>
    </w:p>
    <w:p w14:paraId="099E03CE" w14:textId="77777777" w:rsidR="00812C2B" w:rsidRDefault="00812C2B" w:rsidP="00E647CF">
      <w:pPr>
        <w:tabs>
          <w:tab w:val="left" w:pos="-1440"/>
        </w:tabs>
        <w:snapToGrid w:val="0"/>
        <w:jc w:val="both"/>
        <w:rPr>
          <w:rFonts w:cs="Times New Roman"/>
        </w:rPr>
      </w:pPr>
      <w:r>
        <w:rPr>
          <w:rFonts w:cs="Times New Roman"/>
        </w:rPr>
        <w:t>Pas de sport ou d’activités délétères pour le rachis lombaire n’ont été pratiqués.</w:t>
      </w:r>
    </w:p>
    <w:p w14:paraId="0E0499CE" w14:textId="77777777" w:rsidR="00812C2B" w:rsidRDefault="00812C2B" w:rsidP="00E647CF">
      <w:pPr>
        <w:tabs>
          <w:tab w:val="left" w:pos="-1440"/>
        </w:tabs>
        <w:snapToGrid w:val="0"/>
        <w:jc w:val="both"/>
        <w:rPr>
          <w:rFonts w:cs="Times New Roman"/>
        </w:rPr>
      </w:pPr>
    </w:p>
    <w:p w14:paraId="618D2E81" w14:textId="77777777" w:rsidR="00812C2B" w:rsidRDefault="00812C2B" w:rsidP="00E647CF">
      <w:pPr>
        <w:tabs>
          <w:tab w:val="left" w:pos="-1440"/>
        </w:tabs>
        <w:snapToGrid w:val="0"/>
        <w:jc w:val="both"/>
        <w:rPr>
          <w:rFonts w:cs="Times New Roman"/>
        </w:rPr>
      </w:pPr>
      <w:r>
        <w:rPr>
          <w:rFonts w:cs="Times New Roman"/>
        </w:rPr>
        <w:t xml:space="preserve">L’expert souligne que l’âge et les professions exercées </w:t>
      </w:r>
      <w:r w:rsidR="003C4FDA">
        <w:rPr>
          <w:rFonts w:cs="Times New Roman"/>
        </w:rPr>
        <w:t>sont les deux facteurs expliquant les lésions arthrosiques constatées.</w:t>
      </w:r>
    </w:p>
    <w:p w14:paraId="003DED53" w14:textId="77777777" w:rsidR="005C2AD0" w:rsidRDefault="005C2AD0" w:rsidP="00E647CF">
      <w:pPr>
        <w:tabs>
          <w:tab w:val="left" w:pos="-1440"/>
        </w:tabs>
        <w:snapToGrid w:val="0"/>
        <w:jc w:val="both"/>
        <w:rPr>
          <w:rFonts w:cs="Times New Roman"/>
        </w:rPr>
      </w:pPr>
    </w:p>
    <w:p w14:paraId="62C63030" w14:textId="77777777" w:rsidR="005C2AD0" w:rsidRDefault="005C2AD0" w:rsidP="00E647CF">
      <w:pPr>
        <w:tabs>
          <w:tab w:val="left" w:pos="-1440"/>
        </w:tabs>
        <w:snapToGrid w:val="0"/>
        <w:jc w:val="both"/>
        <w:rPr>
          <w:rFonts w:cs="Times New Roman"/>
        </w:rPr>
      </w:pPr>
      <w:r>
        <w:rPr>
          <w:rFonts w:cs="Times New Roman"/>
        </w:rPr>
        <w:t>L’expert judiciaire ne nie pas les conséquences de l’âge sur les lésions arthrosiques, ni l’existence de lésions arthrosiques aux deux premiers niveaux lombaires qui ne sont pas concernés par l’arthrose d’origine professionnelle.</w:t>
      </w:r>
    </w:p>
    <w:p w14:paraId="683393A1" w14:textId="77777777" w:rsidR="006E7DEA" w:rsidRDefault="006E7DEA" w:rsidP="00E647CF">
      <w:pPr>
        <w:tabs>
          <w:tab w:val="left" w:pos="-1440"/>
        </w:tabs>
        <w:snapToGrid w:val="0"/>
        <w:jc w:val="both"/>
        <w:rPr>
          <w:rFonts w:cs="Times New Roman"/>
        </w:rPr>
      </w:pPr>
    </w:p>
    <w:p w14:paraId="1DB368D3" w14:textId="77777777" w:rsidR="006E7DEA" w:rsidRDefault="006E7DEA" w:rsidP="00E647CF">
      <w:pPr>
        <w:tabs>
          <w:tab w:val="left" w:pos="-1440"/>
        </w:tabs>
        <w:snapToGrid w:val="0"/>
        <w:jc w:val="both"/>
        <w:rPr>
          <w:rFonts w:cs="Times New Roman"/>
        </w:rPr>
      </w:pPr>
      <w:r>
        <w:rPr>
          <w:rFonts w:cs="Times New Roman"/>
        </w:rPr>
        <w:t>Aussi, l’expert s’est posé la bonne question : « l’arthrose observée aujourd’hui aurait-elle été moins grave sans l’exercice de la profession ? »</w:t>
      </w:r>
    </w:p>
    <w:p w14:paraId="06C91842" w14:textId="77777777" w:rsidR="006E7DEA" w:rsidRDefault="006E7DEA" w:rsidP="00E647CF">
      <w:pPr>
        <w:tabs>
          <w:tab w:val="left" w:pos="-1440"/>
        </w:tabs>
        <w:snapToGrid w:val="0"/>
        <w:jc w:val="both"/>
        <w:rPr>
          <w:rFonts w:cs="Times New Roman"/>
        </w:rPr>
      </w:pPr>
    </w:p>
    <w:p w14:paraId="6BB458E4" w14:textId="77777777" w:rsidR="006E7DEA" w:rsidRDefault="006E7DEA" w:rsidP="00E647CF">
      <w:pPr>
        <w:tabs>
          <w:tab w:val="left" w:pos="-1440"/>
        </w:tabs>
        <w:snapToGrid w:val="0"/>
        <w:jc w:val="both"/>
        <w:rPr>
          <w:rFonts w:cs="Times New Roman"/>
          <w:i/>
        </w:rPr>
      </w:pPr>
      <w:r>
        <w:rPr>
          <w:rFonts w:cs="Times New Roman"/>
        </w:rPr>
        <w:t>L’expert répond à cette interrogation en page 14 de son rapport : « </w:t>
      </w:r>
      <w:r>
        <w:rPr>
          <w:rFonts w:cs="Times New Roman"/>
          <w:i/>
        </w:rPr>
        <w:t xml:space="preserve">Selon la classification de </w:t>
      </w:r>
      <w:proofErr w:type="spellStart"/>
      <w:r>
        <w:rPr>
          <w:rFonts w:cs="Times New Roman"/>
          <w:i/>
        </w:rPr>
        <w:t>Kellgren</w:t>
      </w:r>
      <w:proofErr w:type="spellEnd"/>
      <w:r>
        <w:rPr>
          <w:rFonts w:cs="Times New Roman"/>
          <w:i/>
        </w:rPr>
        <w:t xml:space="preserve">, l’arthrose observée en 2004 aux deux premiers étages lombaires n’a pas significativement évolué : les indices de </w:t>
      </w:r>
      <w:proofErr w:type="spellStart"/>
      <w:r>
        <w:rPr>
          <w:rFonts w:cs="Times New Roman"/>
          <w:i/>
        </w:rPr>
        <w:t>Kellgren</w:t>
      </w:r>
      <w:proofErr w:type="spellEnd"/>
      <w:r>
        <w:rPr>
          <w:rFonts w:cs="Times New Roman"/>
          <w:i/>
        </w:rPr>
        <w:t xml:space="preserve"> sont restés au stade 2.</w:t>
      </w:r>
    </w:p>
    <w:p w14:paraId="00C31686" w14:textId="77777777" w:rsidR="006E7DEA" w:rsidRDefault="006E7DEA" w:rsidP="00E647CF">
      <w:pPr>
        <w:tabs>
          <w:tab w:val="left" w:pos="-1440"/>
        </w:tabs>
        <w:snapToGrid w:val="0"/>
        <w:jc w:val="both"/>
        <w:rPr>
          <w:rFonts w:cs="Times New Roman"/>
          <w:i/>
        </w:rPr>
      </w:pPr>
      <w:r>
        <w:rPr>
          <w:rFonts w:cs="Times New Roman"/>
          <w:i/>
        </w:rPr>
        <w:t>L’étage L4-L5 a quant à lui évolué du stade 2 vers un stade 3 proche du stade 4 dans le même intervalle de temps.</w:t>
      </w:r>
    </w:p>
    <w:p w14:paraId="5743B12D" w14:textId="77777777" w:rsidR="006E7DEA" w:rsidRPr="006E7DEA" w:rsidRDefault="006E7DEA" w:rsidP="00E647CF">
      <w:pPr>
        <w:tabs>
          <w:tab w:val="left" w:pos="-1440"/>
        </w:tabs>
        <w:snapToGrid w:val="0"/>
        <w:jc w:val="both"/>
        <w:rPr>
          <w:rFonts w:cs="Times New Roman"/>
          <w:i/>
        </w:rPr>
      </w:pPr>
      <w:r>
        <w:rPr>
          <w:rFonts w:cs="Times New Roman"/>
          <w:i/>
        </w:rPr>
        <w:t>En conséquence, nous pouvons dire à titre provisoire que l’arthrose présente aujourd’hui aurait été moins importante sans l’exercice de la profession. »</w:t>
      </w:r>
    </w:p>
    <w:p w14:paraId="5AF0E26A" w14:textId="77777777" w:rsidR="001C6AE8" w:rsidRDefault="001C6AE8" w:rsidP="00E647CF">
      <w:pPr>
        <w:tabs>
          <w:tab w:val="left" w:pos="-1440"/>
        </w:tabs>
        <w:snapToGrid w:val="0"/>
        <w:jc w:val="both"/>
        <w:rPr>
          <w:rFonts w:cs="Times New Roman"/>
        </w:rPr>
      </w:pPr>
    </w:p>
    <w:p w14:paraId="662AE45B" w14:textId="77777777" w:rsidR="00306940" w:rsidRPr="00306940" w:rsidRDefault="00306940" w:rsidP="00306940">
      <w:pPr>
        <w:pStyle w:val="Paragraphedeliste"/>
        <w:numPr>
          <w:ilvl w:val="0"/>
          <w:numId w:val="25"/>
        </w:numPr>
        <w:tabs>
          <w:tab w:val="left" w:pos="-1440"/>
        </w:tabs>
        <w:snapToGrid w:val="0"/>
        <w:jc w:val="both"/>
        <w:rPr>
          <w:rFonts w:cs="Times New Roman"/>
        </w:rPr>
      </w:pPr>
      <w:r>
        <w:rPr>
          <w:rFonts w:cs="Times New Roman"/>
        </w:rPr>
        <w:t>La décision.</w:t>
      </w:r>
    </w:p>
    <w:p w14:paraId="16876DD3" w14:textId="77777777" w:rsidR="00306940" w:rsidRDefault="00306940" w:rsidP="00E647CF">
      <w:pPr>
        <w:tabs>
          <w:tab w:val="left" w:pos="-1440"/>
        </w:tabs>
        <w:snapToGrid w:val="0"/>
        <w:jc w:val="both"/>
        <w:rPr>
          <w:rFonts w:cs="Times New Roman"/>
        </w:rPr>
      </w:pPr>
    </w:p>
    <w:p w14:paraId="648CE74E" w14:textId="77777777" w:rsidR="00306940" w:rsidRDefault="00306940" w:rsidP="008939EC">
      <w:pPr>
        <w:tabs>
          <w:tab w:val="left" w:pos="-1440"/>
        </w:tabs>
        <w:snapToGrid w:val="0"/>
        <w:jc w:val="both"/>
        <w:rPr>
          <w:rFonts w:cs="Times New Roman"/>
          <w:lang w:val="fr-FR"/>
        </w:rPr>
      </w:pPr>
    </w:p>
    <w:p w14:paraId="0C928942" w14:textId="77777777" w:rsidR="008939EC" w:rsidRDefault="00306940" w:rsidP="008939EC">
      <w:pPr>
        <w:tabs>
          <w:tab w:val="left" w:pos="-1440"/>
        </w:tabs>
        <w:snapToGrid w:val="0"/>
        <w:jc w:val="both"/>
        <w:rPr>
          <w:rFonts w:cs="Times New Roman"/>
          <w:lang w:val="fr-FR"/>
        </w:rPr>
      </w:pPr>
      <w:r>
        <w:rPr>
          <w:rFonts w:cs="Times New Roman"/>
          <w:lang w:val="fr-FR"/>
        </w:rPr>
        <w:t>L</w:t>
      </w:r>
      <w:r w:rsidR="00133585">
        <w:rPr>
          <w:rFonts w:cs="Times New Roman"/>
          <w:lang w:val="fr-FR"/>
        </w:rPr>
        <w:t>e tribunal reconnait une aggravation de la maladie professionnelle initialement reconnue sous le code 1.605.12 et actuellement analysée comme une maladie reprise dans le système hors liste.</w:t>
      </w:r>
    </w:p>
    <w:p w14:paraId="6CA86E5C" w14:textId="77777777" w:rsidR="00133585" w:rsidRDefault="00133585" w:rsidP="008939EC">
      <w:pPr>
        <w:tabs>
          <w:tab w:val="left" w:pos="-1440"/>
        </w:tabs>
        <w:snapToGrid w:val="0"/>
        <w:jc w:val="both"/>
        <w:rPr>
          <w:rFonts w:cs="Times New Roman"/>
          <w:lang w:val="fr-FR"/>
        </w:rPr>
      </w:pPr>
    </w:p>
    <w:p w14:paraId="149EA0E8" w14:textId="77777777" w:rsidR="00133585" w:rsidRDefault="00133585" w:rsidP="008939EC">
      <w:pPr>
        <w:tabs>
          <w:tab w:val="left" w:pos="-1440"/>
        </w:tabs>
        <w:snapToGrid w:val="0"/>
        <w:jc w:val="both"/>
        <w:rPr>
          <w:rFonts w:cs="Times New Roman"/>
          <w:lang w:val="fr-FR"/>
        </w:rPr>
      </w:pPr>
      <w:r>
        <w:rPr>
          <w:rFonts w:cs="Times New Roman"/>
          <w:lang w:val="fr-FR"/>
        </w:rPr>
        <w:t>Le taux d’incapacité permanente partielle doit être porté à 10 %.</w:t>
      </w:r>
    </w:p>
    <w:p w14:paraId="248FA3E6" w14:textId="77777777" w:rsidR="00133585" w:rsidRDefault="00133585" w:rsidP="008939EC">
      <w:pPr>
        <w:tabs>
          <w:tab w:val="left" w:pos="-1440"/>
        </w:tabs>
        <w:snapToGrid w:val="0"/>
        <w:jc w:val="both"/>
        <w:rPr>
          <w:rFonts w:cs="Times New Roman"/>
          <w:lang w:val="fr-FR"/>
        </w:rPr>
      </w:pPr>
    </w:p>
    <w:p w14:paraId="358F6A33" w14:textId="77777777" w:rsidR="00133585" w:rsidRDefault="00133585" w:rsidP="008939EC">
      <w:pPr>
        <w:tabs>
          <w:tab w:val="left" w:pos="-1440"/>
        </w:tabs>
        <w:snapToGrid w:val="0"/>
        <w:jc w:val="both"/>
        <w:rPr>
          <w:rFonts w:cs="Times New Roman"/>
          <w:lang w:val="fr-FR"/>
        </w:rPr>
      </w:pPr>
    </w:p>
    <w:p w14:paraId="59E9F07B" w14:textId="77777777" w:rsidR="00EB2260" w:rsidRDefault="00EB2260" w:rsidP="008939EC">
      <w:pPr>
        <w:tabs>
          <w:tab w:val="left" w:pos="-1440"/>
        </w:tabs>
        <w:snapToGrid w:val="0"/>
        <w:jc w:val="both"/>
        <w:rPr>
          <w:rFonts w:cs="Times New Roman"/>
          <w:lang w:val="fr-FR"/>
        </w:rPr>
      </w:pPr>
    </w:p>
    <w:p w14:paraId="7EBB833C" w14:textId="77777777" w:rsidR="00EB2260" w:rsidRDefault="00EB2260" w:rsidP="008939EC">
      <w:pPr>
        <w:tabs>
          <w:tab w:val="left" w:pos="-1440"/>
        </w:tabs>
        <w:snapToGrid w:val="0"/>
        <w:jc w:val="both"/>
        <w:rPr>
          <w:rFonts w:cs="Times New Roman"/>
          <w:lang w:val="fr-FR"/>
        </w:rPr>
      </w:pPr>
    </w:p>
    <w:p w14:paraId="7AA68BDB" w14:textId="77777777" w:rsidR="00306940" w:rsidRPr="00306940" w:rsidRDefault="00306940" w:rsidP="00306940">
      <w:pPr>
        <w:pStyle w:val="Paragraphedeliste"/>
        <w:numPr>
          <w:ilvl w:val="0"/>
          <w:numId w:val="25"/>
        </w:numPr>
        <w:tabs>
          <w:tab w:val="left" w:pos="-1440"/>
        </w:tabs>
        <w:snapToGrid w:val="0"/>
        <w:jc w:val="both"/>
        <w:rPr>
          <w:rFonts w:cs="Times New Roman"/>
          <w:lang w:val="fr-FR"/>
        </w:rPr>
      </w:pPr>
      <w:r>
        <w:rPr>
          <w:rFonts w:cs="Times New Roman"/>
          <w:lang w:val="fr-FR"/>
        </w:rPr>
        <w:t>Les interrogations du tribunal.</w:t>
      </w:r>
    </w:p>
    <w:p w14:paraId="62504286" w14:textId="77777777" w:rsidR="00306940" w:rsidRDefault="00306940" w:rsidP="008939EC">
      <w:pPr>
        <w:tabs>
          <w:tab w:val="left" w:pos="-1440"/>
        </w:tabs>
        <w:snapToGrid w:val="0"/>
        <w:jc w:val="both"/>
        <w:rPr>
          <w:rFonts w:cs="Times New Roman"/>
          <w:lang w:val="fr-FR"/>
        </w:rPr>
      </w:pPr>
    </w:p>
    <w:p w14:paraId="3C14F329" w14:textId="77777777" w:rsidR="001C3777" w:rsidRDefault="001C3777" w:rsidP="008939EC">
      <w:pPr>
        <w:tabs>
          <w:tab w:val="left" w:pos="-1440"/>
        </w:tabs>
        <w:snapToGrid w:val="0"/>
        <w:jc w:val="both"/>
        <w:rPr>
          <w:rFonts w:cs="Times New Roman"/>
          <w:lang w:val="fr-FR"/>
        </w:rPr>
      </w:pPr>
      <w:r>
        <w:rPr>
          <w:rFonts w:cs="Times New Roman"/>
          <w:lang w:val="fr-FR"/>
        </w:rPr>
        <w:t>En ce qui concerne la date de prise de cours de ladite aggravation, le tribunal s’interroge quant à la date retenue.</w:t>
      </w:r>
    </w:p>
    <w:p w14:paraId="0AC135A1" w14:textId="77777777" w:rsidR="001C3777" w:rsidRDefault="001C3777" w:rsidP="008939EC">
      <w:pPr>
        <w:tabs>
          <w:tab w:val="left" w:pos="-1440"/>
        </w:tabs>
        <w:snapToGrid w:val="0"/>
        <w:jc w:val="both"/>
        <w:rPr>
          <w:rFonts w:cs="Times New Roman"/>
          <w:lang w:val="fr-FR"/>
        </w:rPr>
      </w:pPr>
    </w:p>
    <w:p w14:paraId="31330AC6" w14:textId="77777777" w:rsidR="001C3777" w:rsidRDefault="001C3777" w:rsidP="008939EC">
      <w:pPr>
        <w:tabs>
          <w:tab w:val="left" w:pos="-1440"/>
        </w:tabs>
        <w:snapToGrid w:val="0"/>
        <w:jc w:val="both"/>
        <w:rPr>
          <w:rFonts w:cs="Times New Roman"/>
          <w:lang w:val="fr-FR"/>
        </w:rPr>
      </w:pPr>
      <w:r>
        <w:rPr>
          <w:rFonts w:cs="Times New Roman"/>
          <w:lang w:val="fr-FR"/>
        </w:rPr>
        <w:t>Si la charge de la preuve repose effectivement sur la partie demanderesse qui doit fournir les documents adéquats, le tribunal constate que tant en page 7 qu’en page 15, l’expert judiciaire fait état de radiographies réalisées le 18 juillet 2014 par le Docteur KUTA et d’un scanner de la colonne lombo-sacrée effectué par le Docteur KUTA également le 13 août 2014.</w:t>
      </w:r>
    </w:p>
    <w:p w14:paraId="0E312AFE" w14:textId="77777777" w:rsidR="00082B06" w:rsidRDefault="00082B06" w:rsidP="008939EC">
      <w:pPr>
        <w:tabs>
          <w:tab w:val="left" w:pos="-1440"/>
        </w:tabs>
        <w:snapToGrid w:val="0"/>
        <w:jc w:val="both"/>
        <w:rPr>
          <w:rFonts w:cs="Times New Roman"/>
          <w:lang w:val="fr-FR"/>
        </w:rPr>
      </w:pPr>
    </w:p>
    <w:p w14:paraId="0F4B1CAE" w14:textId="77777777" w:rsidR="00082B06" w:rsidRDefault="00082B06" w:rsidP="008939EC">
      <w:pPr>
        <w:tabs>
          <w:tab w:val="left" w:pos="-1440"/>
        </w:tabs>
        <w:snapToGrid w:val="0"/>
        <w:jc w:val="both"/>
        <w:rPr>
          <w:rFonts w:cs="Times New Roman"/>
          <w:lang w:val="fr-FR"/>
        </w:rPr>
      </w:pPr>
      <w:r>
        <w:rPr>
          <w:rFonts w:cs="Times New Roman"/>
          <w:lang w:val="fr-FR"/>
        </w:rPr>
        <w:t>Il semblerait que malgré les demandes formulées les documents radiologiques n’aient pas été transmis par la partie demanderesse.</w:t>
      </w:r>
    </w:p>
    <w:p w14:paraId="4F9800D9" w14:textId="77777777" w:rsidR="00082B06" w:rsidRDefault="00082B06" w:rsidP="008939EC">
      <w:pPr>
        <w:tabs>
          <w:tab w:val="left" w:pos="-1440"/>
        </w:tabs>
        <w:snapToGrid w:val="0"/>
        <w:jc w:val="both"/>
        <w:rPr>
          <w:rFonts w:cs="Times New Roman"/>
          <w:lang w:val="fr-FR"/>
        </w:rPr>
      </w:pPr>
      <w:r>
        <w:rPr>
          <w:rFonts w:cs="Times New Roman"/>
          <w:lang w:val="fr-FR"/>
        </w:rPr>
        <w:t>Seuls les protocoles figurent au dossier (annexes 21 et 22).</w:t>
      </w:r>
    </w:p>
    <w:p w14:paraId="1565632B" w14:textId="77777777" w:rsidR="00082B06" w:rsidRDefault="00082B06" w:rsidP="008939EC">
      <w:pPr>
        <w:tabs>
          <w:tab w:val="left" w:pos="-1440"/>
        </w:tabs>
        <w:snapToGrid w:val="0"/>
        <w:jc w:val="both"/>
        <w:rPr>
          <w:rFonts w:cs="Times New Roman"/>
          <w:lang w:val="fr-FR"/>
        </w:rPr>
      </w:pPr>
    </w:p>
    <w:p w14:paraId="6D9A3665" w14:textId="77777777" w:rsidR="00082B06" w:rsidRDefault="00082B06" w:rsidP="008939EC">
      <w:pPr>
        <w:tabs>
          <w:tab w:val="left" w:pos="-1440"/>
        </w:tabs>
        <w:snapToGrid w:val="0"/>
        <w:jc w:val="both"/>
        <w:rPr>
          <w:rFonts w:cs="Times New Roman"/>
          <w:lang w:val="fr-FR"/>
        </w:rPr>
      </w:pPr>
      <w:r>
        <w:rPr>
          <w:rFonts w:cs="Times New Roman"/>
          <w:lang w:val="fr-FR"/>
        </w:rPr>
        <w:t>Aussi, pour permettre à l’expert judiciaire de maintenir la date de l’incapacité permanente initialement retenue ou de la modifier, il est demandé à la partie demanderesse de fournir les documents radiologiques réalisés par le Docteur KUTA et à la partie intervenante volontaire de fournir les clichés réalisés par le Docteur PELOUSSE, le 18 juillet 2014.</w:t>
      </w:r>
    </w:p>
    <w:p w14:paraId="5025AF5C" w14:textId="77777777" w:rsidR="00082B06" w:rsidRDefault="00082B06" w:rsidP="008939EC">
      <w:pPr>
        <w:tabs>
          <w:tab w:val="left" w:pos="-1440"/>
        </w:tabs>
        <w:snapToGrid w:val="0"/>
        <w:jc w:val="both"/>
        <w:rPr>
          <w:rFonts w:cs="Times New Roman"/>
          <w:lang w:val="fr-FR"/>
        </w:rPr>
      </w:pPr>
    </w:p>
    <w:p w14:paraId="50C54133" w14:textId="77777777" w:rsidR="00082B06" w:rsidRDefault="00082B06" w:rsidP="008939EC">
      <w:pPr>
        <w:tabs>
          <w:tab w:val="left" w:pos="-1440"/>
        </w:tabs>
        <w:snapToGrid w:val="0"/>
        <w:jc w:val="both"/>
        <w:rPr>
          <w:rFonts w:cs="Times New Roman"/>
          <w:lang w:val="fr-FR"/>
        </w:rPr>
      </w:pPr>
      <w:r>
        <w:rPr>
          <w:rFonts w:cs="Times New Roman"/>
          <w:lang w:val="fr-FR"/>
        </w:rPr>
        <w:t>Ainsi, l’expert judiciaire pourra affiner ses conclusions quant à la date à devoir retenir pour la reconnaissance de l’aggravation de la maladie professionnelle.</w:t>
      </w:r>
    </w:p>
    <w:p w14:paraId="3A632721" w14:textId="77777777" w:rsidR="00133585" w:rsidRDefault="00133585" w:rsidP="008939EC">
      <w:pPr>
        <w:tabs>
          <w:tab w:val="left" w:pos="-1440"/>
        </w:tabs>
        <w:snapToGrid w:val="0"/>
        <w:jc w:val="both"/>
        <w:rPr>
          <w:rFonts w:cs="Times New Roman"/>
          <w:lang w:val="fr-FR"/>
        </w:rPr>
      </w:pPr>
    </w:p>
    <w:p w14:paraId="08E10285" w14:textId="77777777" w:rsidR="008939EC" w:rsidRDefault="008939EC" w:rsidP="006755A6">
      <w:pPr>
        <w:tabs>
          <w:tab w:val="left" w:pos="-1440"/>
        </w:tabs>
        <w:snapToGrid w:val="0"/>
        <w:jc w:val="both"/>
        <w:rPr>
          <w:rFonts w:cs="Times New Roman"/>
          <w:lang w:val="fr-FR"/>
        </w:rPr>
      </w:pPr>
    </w:p>
    <w:p w14:paraId="3B2A6083" w14:textId="77777777" w:rsidR="008939EC" w:rsidRPr="0091234F" w:rsidRDefault="008939EC" w:rsidP="008939EC">
      <w:pPr>
        <w:pStyle w:val="Textbody"/>
        <w:rPr>
          <w:rFonts w:cs="Times New Roman"/>
          <w:lang w:val="fr-FR"/>
        </w:rPr>
      </w:pPr>
      <w:r w:rsidRPr="0091234F">
        <w:rPr>
          <w:rFonts w:cs="Times New Roman"/>
          <w:lang w:val="fr-FR"/>
        </w:rPr>
        <w:t xml:space="preserve">En conclusion, il s’impose d’ordonner la réouverture des débats pour permettre à l’expert de préciser, modifier, justifier ses conclusions d’expertise </w:t>
      </w:r>
      <w:r>
        <w:rPr>
          <w:rFonts w:cs="Times New Roman"/>
          <w:lang w:val="fr-FR"/>
        </w:rPr>
        <w:t>en répondant aux questions posées ci-avant</w:t>
      </w:r>
      <w:r w:rsidRPr="0091234F">
        <w:rPr>
          <w:rFonts w:cs="Times New Roman"/>
          <w:lang w:val="fr-FR"/>
        </w:rPr>
        <w:t xml:space="preserve"> et afin de permettre aux parties d’en débattre, en application des articles 774 et 775 du Code judiciaire.</w:t>
      </w:r>
    </w:p>
    <w:p w14:paraId="63C56445" w14:textId="77777777" w:rsidR="008939EC" w:rsidRPr="0091234F" w:rsidRDefault="008939EC" w:rsidP="008939EC">
      <w:pPr>
        <w:pStyle w:val="Textbody"/>
        <w:jc w:val="center"/>
        <w:rPr>
          <w:rFonts w:cs="Times New Roman"/>
          <w:b/>
          <w:lang w:val="fr-FR"/>
        </w:rPr>
      </w:pPr>
      <w:r w:rsidRPr="0091234F">
        <w:rPr>
          <w:rFonts w:cs="Times New Roman"/>
          <w:b/>
          <w:lang w:val="fr-FR"/>
        </w:rPr>
        <w:t>PAR CES MOTIFS,</w:t>
      </w:r>
    </w:p>
    <w:p w14:paraId="26A48D60" w14:textId="77777777" w:rsidR="000D3B73" w:rsidRDefault="000D3B73" w:rsidP="008939EC">
      <w:pPr>
        <w:pStyle w:val="Textbody"/>
        <w:rPr>
          <w:rFonts w:cs="Times New Roman"/>
          <w:b/>
          <w:lang w:val="fr-FR"/>
        </w:rPr>
      </w:pPr>
    </w:p>
    <w:p w14:paraId="11D05B58" w14:textId="77777777" w:rsidR="008939EC" w:rsidRPr="0091234F" w:rsidRDefault="008939EC" w:rsidP="008939EC">
      <w:pPr>
        <w:pStyle w:val="Textbody"/>
        <w:rPr>
          <w:rFonts w:cs="Times New Roman"/>
          <w:b/>
          <w:lang w:val="fr-FR"/>
        </w:rPr>
      </w:pPr>
      <w:r w:rsidRPr="0091234F">
        <w:rPr>
          <w:rFonts w:cs="Times New Roman"/>
          <w:b/>
          <w:lang w:val="fr-FR"/>
        </w:rPr>
        <w:t xml:space="preserve">LE TRIBUNAL, </w:t>
      </w:r>
      <w:r w:rsidRPr="0091234F">
        <w:rPr>
          <w:rFonts w:cs="Times New Roman"/>
          <w:bCs/>
          <w:lang w:val="fr-FR"/>
        </w:rPr>
        <w:t>après en avoir délibéré ;</w:t>
      </w:r>
    </w:p>
    <w:p w14:paraId="014CECAE" w14:textId="77777777" w:rsidR="008939EC" w:rsidRDefault="008939EC" w:rsidP="008939EC">
      <w:pPr>
        <w:pStyle w:val="Textbody"/>
        <w:rPr>
          <w:rFonts w:cs="Times New Roman"/>
          <w:b/>
          <w:lang w:val="fr-FR"/>
        </w:rPr>
      </w:pPr>
    </w:p>
    <w:p w14:paraId="7F207B0A" w14:textId="77777777" w:rsidR="008939EC" w:rsidRPr="0091234F" w:rsidRDefault="008939EC" w:rsidP="008939EC">
      <w:pPr>
        <w:pStyle w:val="Textbody"/>
        <w:rPr>
          <w:rFonts w:cs="Times New Roman"/>
          <w:b/>
          <w:lang w:val="fr-FR"/>
        </w:rPr>
      </w:pPr>
      <w:r w:rsidRPr="0091234F">
        <w:rPr>
          <w:rFonts w:cs="Times New Roman"/>
          <w:b/>
          <w:lang w:val="fr-FR"/>
        </w:rPr>
        <w:t xml:space="preserve">STATUANT, </w:t>
      </w:r>
      <w:r w:rsidRPr="0091234F">
        <w:rPr>
          <w:rFonts w:cs="Times New Roman"/>
          <w:bCs/>
          <w:lang w:val="fr-FR"/>
        </w:rPr>
        <w:t>publiquement et contradictoirement ;</w:t>
      </w:r>
    </w:p>
    <w:p w14:paraId="1C1D38CE" w14:textId="77777777" w:rsidR="008939EC" w:rsidRDefault="008939EC" w:rsidP="008939EC">
      <w:pPr>
        <w:pStyle w:val="Textbody"/>
        <w:rPr>
          <w:rFonts w:cs="Times New Roman"/>
          <w:b/>
          <w:lang w:val="fr-FR"/>
        </w:rPr>
      </w:pPr>
    </w:p>
    <w:p w14:paraId="2818F3C1" w14:textId="77777777" w:rsidR="008939EC" w:rsidRPr="0044336B" w:rsidRDefault="008939EC" w:rsidP="008939EC">
      <w:pPr>
        <w:pStyle w:val="Textbody"/>
        <w:rPr>
          <w:rFonts w:cs="Times New Roman"/>
          <w:lang w:val="fr-FR"/>
        </w:rPr>
      </w:pPr>
      <w:r w:rsidRPr="0091234F">
        <w:rPr>
          <w:rFonts w:cs="Times New Roman"/>
          <w:b/>
          <w:lang w:val="fr-FR"/>
        </w:rPr>
        <w:t xml:space="preserve">DIT </w:t>
      </w:r>
      <w:r w:rsidRPr="0091234F">
        <w:rPr>
          <w:rFonts w:cs="Times New Roman"/>
          <w:lang w:val="fr-FR"/>
        </w:rPr>
        <w:t>la demande recevable ;</w:t>
      </w:r>
    </w:p>
    <w:p w14:paraId="604C0070" w14:textId="77777777" w:rsidR="008939EC" w:rsidRDefault="008939EC" w:rsidP="008939EC">
      <w:pPr>
        <w:pStyle w:val="Textbody"/>
        <w:rPr>
          <w:rFonts w:cs="Times New Roman"/>
          <w:b/>
          <w:bCs/>
          <w:lang w:val="fr-FR"/>
        </w:rPr>
      </w:pPr>
    </w:p>
    <w:p w14:paraId="5EB9B3E9" w14:textId="77777777" w:rsidR="008939EC" w:rsidRPr="0044336B" w:rsidRDefault="008939EC" w:rsidP="008939EC">
      <w:pPr>
        <w:pStyle w:val="Textbody"/>
        <w:rPr>
          <w:rFonts w:cs="Times New Roman"/>
          <w:bCs/>
          <w:lang w:val="fr-FR"/>
        </w:rPr>
      </w:pPr>
      <w:r w:rsidRPr="0091234F">
        <w:rPr>
          <w:rFonts w:cs="Times New Roman"/>
          <w:b/>
          <w:bCs/>
          <w:lang w:val="fr-FR"/>
        </w:rPr>
        <w:t xml:space="preserve">ORDONNE LA REOUVERTURE DES DEBATS et le renvoi du dossier à l’expert judiciaire pour lui permettre de préciser </w:t>
      </w:r>
      <w:r w:rsidR="00E324DB">
        <w:rPr>
          <w:rFonts w:cs="Times New Roman"/>
          <w:b/>
          <w:bCs/>
          <w:lang w:val="fr-FR"/>
        </w:rPr>
        <w:t>l</w:t>
      </w:r>
      <w:r w:rsidR="00082B06">
        <w:rPr>
          <w:rFonts w:cs="Times New Roman"/>
          <w:b/>
          <w:bCs/>
          <w:lang w:val="fr-FR"/>
        </w:rPr>
        <w:t>a date de prise de cours du taux de 10 % d’incapacité permanente de travail reconnu</w:t>
      </w:r>
      <w:r>
        <w:rPr>
          <w:rFonts w:cs="Times New Roman"/>
          <w:b/>
          <w:bCs/>
          <w:lang w:val="fr-FR"/>
        </w:rPr>
        <w:t>.</w:t>
      </w:r>
    </w:p>
    <w:p w14:paraId="1537C8B7" w14:textId="77777777" w:rsidR="00082B06" w:rsidRDefault="00082B06" w:rsidP="00082B06">
      <w:pPr>
        <w:pStyle w:val="Textbody"/>
        <w:spacing w:after="0"/>
        <w:rPr>
          <w:rFonts w:cs="Times New Roman"/>
          <w:b/>
          <w:bCs/>
          <w:lang w:val="fr-FR"/>
        </w:rPr>
      </w:pPr>
    </w:p>
    <w:p w14:paraId="181BCA82" w14:textId="77777777" w:rsidR="002B7CF6" w:rsidRDefault="00082B06" w:rsidP="002B7CF6">
      <w:pPr>
        <w:tabs>
          <w:tab w:val="left" w:pos="-1440"/>
        </w:tabs>
        <w:snapToGrid w:val="0"/>
        <w:jc w:val="both"/>
        <w:rPr>
          <w:rFonts w:cs="Times New Roman"/>
          <w:lang w:val="fr-FR"/>
        </w:rPr>
      </w:pPr>
      <w:r w:rsidRPr="0091234F">
        <w:rPr>
          <w:rFonts w:cs="Times New Roman"/>
          <w:b/>
          <w:bCs/>
          <w:lang w:val="fr-FR"/>
        </w:rPr>
        <w:t xml:space="preserve">DIT </w:t>
      </w:r>
      <w:r w:rsidRPr="0091234F">
        <w:rPr>
          <w:rFonts w:cs="Times New Roman"/>
          <w:bCs/>
          <w:lang w:val="fr-FR"/>
        </w:rPr>
        <w:t>que</w:t>
      </w:r>
      <w:r w:rsidR="002B7CF6">
        <w:rPr>
          <w:rFonts w:cs="Times New Roman"/>
          <w:bCs/>
          <w:lang w:val="fr-FR"/>
        </w:rPr>
        <w:t xml:space="preserve"> la partie demanderesse et la partie intervenante volontaire fourniront, dans les 2 mois à dater de la notification du présent jugement, </w:t>
      </w:r>
      <w:r w:rsidR="002B7CF6">
        <w:rPr>
          <w:rFonts w:cs="Times New Roman"/>
          <w:lang w:val="fr-FR"/>
        </w:rPr>
        <w:t>les documents radiologiques réalisés par le Docteur KUTA, les 18 juillet et 13 août 2014 (pour la partie demanderesse) et les clichés réalisés par le Docteur PELOUSSE, le 18 juillet 2014 (pour la partie intervenante volontaire).</w:t>
      </w:r>
    </w:p>
    <w:p w14:paraId="7D348F46" w14:textId="77777777" w:rsidR="00082B06" w:rsidRDefault="00082B06" w:rsidP="00082B06">
      <w:pPr>
        <w:pStyle w:val="Textbody"/>
        <w:spacing w:after="0"/>
        <w:rPr>
          <w:rFonts w:cs="Times New Roman"/>
          <w:b/>
          <w:bCs/>
          <w:lang w:val="fr-FR"/>
        </w:rPr>
      </w:pPr>
    </w:p>
    <w:p w14:paraId="64697D85" w14:textId="77777777" w:rsidR="00082B06" w:rsidRDefault="00082B06" w:rsidP="00082B06">
      <w:pPr>
        <w:pStyle w:val="Textbody"/>
        <w:spacing w:after="0"/>
        <w:rPr>
          <w:rFonts w:cs="Times New Roman"/>
          <w:b/>
          <w:bCs/>
          <w:lang w:val="fr-FR"/>
        </w:rPr>
      </w:pPr>
    </w:p>
    <w:p w14:paraId="3E01325B" w14:textId="77777777" w:rsidR="008939EC" w:rsidRPr="0091234F" w:rsidRDefault="008939EC" w:rsidP="008939EC">
      <w:pPr>
        <w:pStyle w:val="Textbody"/>
        <w:rPr>
          <w:rFonts w:cs="Times New Roman"/>
          <w:b/>
          <w:bCs/>
          <w:u w:val="single"/>
          <w:lang w:val="fr-FR"/>
        </w:rPr>
      </w:pPr>
      <w:r w:rsidRPr="0091234F">
        <w:rPr>
          <w:rFonts w:cs="Times New Roman"/>
          <w:b/>
          <w:bCs/>
          <w:lang w:val="fr-FR"/>
        </w:rPr>
        <w:t xml:space="preserve">DIT </w:t>
      </w:r>
      <w:r w:rsidRPr="0091234F">
        <w:rPr>
          <w:rFonts w:cs="Times New Roman"/>
          <w:bCs/>
          <w:lang w:val="fr-FR"/>
        </w:rPr>
        <w:t xml:space="preserve">que l’expert adressera sa réponse écrite au tribunal et une copie de celle-ci aux parties dans un délai de </w:t>
      </w:r>
      <w:r>
        <w:rPr>
          <w:rFonts w:cs="Times New Roman"/>
          <w:b/>
          <w:bCs/>
          <w:u w:val="single"/>
          <w:lang w:val="fr-FR"/>
        </w:rPr>
        <w:t>SIX</w:t>
      </w:r>
      <w:r w:rsidRPr="0091234F">
        <w:rPr>
          <w:rFonts w:cs="Times New Roman"/>
          <w:b/>
          <w:bCs/>
          <w:u w:val="single"/>
          <w:lang w:val="fr-FR"/>
        </w:rPr>
        <w:t xml:space="preserve"> mois à dater de la notification du présent jugement par </w:t>
      </w:r>
      <w:r w:rsidRPr="0091234F">
        <w:rPr>
          <w:rFonts w:cs="Times New Roman"/>
          <w:b/>
          <w:bCs/>
          <w:u w:val="single"/>
          <w:lang w:val="fr-FR"/>
        </w:rPr>
        <w:lastRenderedPageBreak/>
        <w:t>le greffier</w:t>
      </w:r>
      <w:r w:rsidRPr="0091234F">
        <w:rPr>
          <w:rFonts w:cs="Times New Roman"/>
          <w:b/>
          <w:bCs/>
          <w:lang w:val="fr-FR"/>
        </w:rPr>
        <w:t xml:space="preserve"> ;</w:t>
      </w:r>
    </w:p>
    <w:p w14:paraId="4EF59B22" w14:textId="77777777" w:rsidR="008939EC" w:rsidRPr="0091234F" w:rsidRDefault="008939EC" w:rsidP="008939EC">
      <w:pPr>
        <w:pStyle w:val="Textbody"/>
        <w:rPr>
          <w:rFonts w:cs="Times New Roman"/>
          <w:lang w:val="fr-FR"/>
        </w:rPr>
      </w:pPr>
    </w:p>
    <w:p w14:paraId="3F4D4B88" w14:textId="77777777" w:rsidR="009E1CCF" w:rsidRDefault="008939EC" w:rsidP="008939EC">
      <w:pPr>
        <w:pStyle w:val="Textbody"/>
        <w:rPr>
          <w:rFonts w:cs="Times New Roman"/>
          <w:lang w:val="fr-BE"/>
        </w:rPr>
      </w:pPr>
      <w:r w:rsidRPr="0091234F">
        <w:rPr>
          <w:rFonts w:cs="Times New Roman"/>
          <w:b/>
          <w:bCs/>
          <w:lang w:val="fr-BE"/>
        </w:rPr>
        <w:t>DIT</w:t>
      </w:r>
      <w:r w:rsidRPr="0091234F">
        <w:rPr>
          <w:rFonts w:cs="Times New Roman"/>
          <w:lang w:val="fr-BE"/>
        </w:rPr>
        <w:t xml:space="preserve"> qu'en application de l'article 775 du Code Judiciaire, les parties sont, alors, invitées à s'échanger et à déposer au greffe leurs observations écrites </w:t>
      </w:r>
      <w:r w:rsidRPr="0091234F">
        <w:rPr>
          <w:rFonts w:cs="Times New Roman"/>
          <w:u w:val="single"/>
          <w:lang w:val="fr-BE"/>
        </w:rPr>
        <w:t>et</w:t>
      </w:r>
      <w:r w:rsidRPr="0091234F">
        <w:rPr>
          <w:rFonts w:cs="Times New Roman"/>
          <w:lang w:val="fr-BE"/>
        </w:rPr>
        <w:t xml:space="preserve"> leurs pièces</w:t>
      </w:r>
      <w:r w:rsidR="00E324DB">
        <w:rPr>
          <w:rFonts w:cs="Times New Roman"/>
          <w:lang w:val="fr-BE"/>
        </w:rPr>
        <w:t xml:space="preserve">.  </w:t>
      </w:r>
    </w:p>
    <w:p w14:paraId="135774A1" w14:textId="77777777" w:rsidR="009E1CCF" w:rsidRDefault="009E1CCF" w:rsidP="008939EC">
      <w:pPr>
        <w:pStyle w:val="Textbody"/>
        <w:rPr>
          <w:rFonts w:cs="Times New Roman"/>
          <w:lang w:val="fr-BE"/>
        </w:rPr>
      </w:pPr>
    </w:p>
    <w:p w14:paraId="1D21FE43" w14:textId="77777777" w:rsidR="008939EC" w:rsidRPr="0091234F" w:rsidRDefault="009E1CCF" w:rsidP="008939EC">
      <w:pPr>
        <w:pStyle w:val="Textbody"/>
        <w:rPr>
          <w:rFonts w:cs="Times New Roman"/>
          <w:lang w:val="fr-FR"/>
        </w:rPr>
      </w:pPr>
      <w:r w:rsidRPr="009E1CCF">
        <w:rPr>
          <w:rFonts w:cs="Times New Roman"/>
          <w:b/>
          <w:lang w:val="fr-BE"/>
        </w:rPr>
        <w:t xml:space="preserve">DIT </w:t>
      </w:r>
      <w:r>
        <w:rPr>
          <w:rFonts w:cs="Times New Roman"/>
          <w:lang w:val="fr-BE"/>
        </w:rPr>
        <w:t>que c</w:t>
      </w:r>
      <w:r w:rsidR="00E324DB">
        <w:rPr>
          <w:rFonts w:cs="Times New Roman"/>
          <w:lang w:val="fr-BE"/>
        </w:rPr>
        <w:t xml:space="preserve">elles-ci comprendront </w:t>
      </w:r>
      <w:r w:rsidR="000D3B73">
        <w:rPr>
          <w:rFonts w:cs="Times New Roman"/>
          <w:lang w:val="fr-BE"/>
        </w:rPr>
        <w:t>leur</w:t>
      </w:r>
      <w:r w:rsidR="0039574D">
        <w:rPr>
          <w:rFonts w:cs="Times New Roman"/>
          <w:lang w:val="fr-BE"/>
        </w:rPr>
        <w:t>s</w:t>
      </w:r>
      <w:r w:rsidR="000D3B73">
        <w:rPr>
          <w:rFonts w:cs="Times New Roman"/>
          <w:lang w:val="fr-BE"/>
        </w:rPr>
        <w:t xml:space="preserve"> arguments suite à </w:t>
      </w:r>
      <w:r w:rsidR="00E324DB">
        <w:rPr>
          <w:rFonts w:cs="Times New Roman"/>
          <w:lang w:val="fr-BE"/>
        </w:rPr>
        <w:t>la réponse fournie par l’expert judiciaire</w:t>
      </w:r>
      <w:r w:rsidR="00F11924">
        <w:rPr>
          <w:rFonts w:cs="Times New Roman"/>
          <w:lang w:val="fr-BE"/>
        </w:rPr>
        <w:t xml:space="preserve"> </w:t>
      </w:r>
      <w:r w:rsidR="008939EC" w:rsidRPr="0091234F">
        <w:rPr>
          <w:rFonts w:cs="Times New Roman"/>
          <w:lang w:val="fr-BE"/>
        </w:rPr>
        <w:t>:</w:t>
      </w:r>
    </w:p>
    <w:p w14:paraId="3C24058A" w14:textId="77777777" w:rsidR="008939EC" w:rsidRPr="007A19D8" w:rsidRDefault="008939EC" w:rsidP="008939EC">
      <w:pPr>
        <w:pStyle w:val="Textbody"/>
        <w:numPr>
          <w:ilvl w:val="0"/>
          <w:numId w:val="18"/>
        </w:numPr>
        <w:rPr>
          <w:rFonts w:cs="Times New Roman"/>
          <w:lang w:val="fr-FR"/>
        </w:rPr>
      </w:pPr>
      <w:r w:rsidRPr="007A19D8">
        <w:rPr>
          <w:rFonts w:cs="Times New Roman"/>
          <w:lang w:val="fr-BE"/>
        </w:rPr>
        <w:t>pour le</w:t>
      </w:r>
      <w:r>
        <w:rPr>
          <w:rFonts w:cs="Times New Roman"/>
          <w:b/>
          <w:lang w:val="fr-BE"/>
        </w:rPr>
        <w:t xml:space="preserve"> </w:t>
      </w:r>
      <w:r w:rsidR="002B7CF6">
        <w:rPr>
          <w:rFonts w:cs="Times New Roman"/>
          <w:b/>
          <w:lang w:val="fr-BE"/>
        </w:rPr>
        <w:t>17 avril 2023</w:t>
      </w:r>
      <w:r w:rsidRPr="007A19D8">
        <w:rPr>
          <w:rFonts w:cs="Times New Roman"/>
          <w:lang w:val="fr-BE"/>
        </w:rPr>
        <w:t xml:space="preserve"> au plus </w:t>
      </w:r>
      <w:r w:rsidR="002B7CF6">
        <w:rPr>
          <w:rFonts w:cs="Times New Roman"/>
          <w:lang w:val="fr-BE"/>
        </w:rPr>
        <w:t>tard pour la partie demanderesse</w:t>
      </w:r>
      <w:r w:rsidRPr="007A19D8">
        <w:rPr>
          <w:rFonts w:cs="Times New Roman"/>
          <w:lang w:val="fr-BE"/>
        </w:rPr>
        <w:t> ;</w:t>
      </w:r>
    </w:p>
    <w:p w14:paraId="4CF5579F" w14:textId="77777777" w:rsidR="008939EC" w:rsidRPr="007A19D8" w:rsidRDefault="008939EC" w:rsidP="008939EC">
      <w:pPr>
        <w:pStyle w:val="Textbody"/>
        <w:numPr>
          <w:ilvl w:val="0"/>
          <w:numId w:val="18"/>
        </w:numPr>
        <w:rPr>
          <w:rFonts w:cs="Times New Roman"/>
          <w:lang w:val="fr-FR"/>
        </w:rPr>
      </w:pPr>
      <w:r w:rsidRPr="007A19D8">
        <w:rPr>
          <w:rFonts w:cs="Times New Roman"/>
          <w:lang w:val="fr-BE"/>
        </w:rPr>
        <w:t xml:space="preserve">pour le </w:t>
      </w:r>
      <w:r w:rsidR="002B7CF6">
        <w:rPr>
          <w:rFonts w:cs="Times New Roman"/>
          <w:b/>
          <w:lang w:val="fr-BE"/>
        </w:rPr>
        <w:t>17 mai 2023</w:t>
      </w:r>
      <w:r w:rsidRPr="007A19D8">
        <w:rPr>
          <w:rFonts w:cs="Times New Roman"/>
          <w:lang w:val="fr-BE"/>
        </w:rPr>
        <w:t xml:space="preserve"> au plus </w:t>
      </w:r>
      <w:r w:rsidR="002B7CF6">
        <w:rPr>
          <w:rFonts w:cs="Times New Roman"/>
          <w:lang w:val="fr-BE"/>
        </w:rPr>
        <w:t>tard pour la partie défenderesse et la partie intervenante volontaire</w:t>
      </w:r>
      <w:r w:rsidRPr="007A19D8">
        <w:rPr>
          <w:rFonts w:cs="Times New Roman"/>
          <w:lang w:val="fr-BE"/>
        </w:rPr>
        <w:t> ;</w:t>
      </w:r>
    </w:p>
    <w:p w14:paraId="7B2F5C74" w14:textId="77777777" w:rsidR="008939EC" w:rsidRPr="0091234F" w:rsidRDefault="008939EC" w:rsidP="008939EC">
      <w:pPr>
        <w:pStyle w:val="Textbody"/>
        <w:rPr>
          <w:rFonts w:cs="Times New Roman"/>
          <w:lang w:val="fr-FR"/>
        </w:rPr>
      </w:pPr>
    </w:p>
    <w:p w14:paraId="62FACB58" w14:textId="77777777" w:rsidR="008939EC" w:rsidRPr="0091234F" w:rsidRDefault="008939EC" w:rsidP="008939EC">
      <w:pPr>
        <w:pStyle w:val="Textbody"/>
        <w:rPr>
          <w:rFonts w:cs="Times New Roman"/>
          <w:lang w:val="fr-BE"/>
        </w:rPr>
      </w:pPr>
      <w:r w:rsidRPr="0091234F">
        <w:rPr>
          <w:rFonts w:cs="Times New Roman"/>
          <w:b/>
          <w:bCs/>
          <w:lang w:val="fr-BE"/>
        </w:rPr>
        <w:t xml:space="preserve">DIT </w:t>
      </w:r>
      <w:r w:rsidRPr="0091234F">
        <w:rPr>
          <w:rFonts w:cs="Times New Roman"/>
          <w:lang w:val="fr-BE"/>
        </w:rPr>
        <w:t xml:space="preserve">que les parties seront entendues sur leurs observations, en audience publique, le </w:t>
      </w:r>
      <w:r>
        <w:rPr>
          <w:rFonts w:cs="Times New Roman"/>
          <w:b/>
          <w:u w:val="single"/>
          <w:lang w:val="fr-BE"/>
        </w:rPr>
        <w:t xml:space="preserve">jeudi </w:t>
      </w:r>
      <w:r w:rsidR="00E324DB">
        <w:rPr>
          <w:rFonts w:cs="Times New Roman"/>
          <w:b/>
          <w:u w:val="single"/>
          <w:lang w:val="fr-BE"/>
        </w:rPr>
        <w:t>2</w:t>
      </w:r>
      <w:r w:rsidR="002B7CF6">
        <w:rPr>
          <w:rFonts w:cs="Times New Roman"/>
          <w:b/>
          <w:u w:val="single"/>
          <w:lang w:val="fr-BE"/>
        </w:rPr>
        <w:t>2 juin 2023</w:t>
      </w:r>
      <w:r w:rsidRPr="0091234F">
        <w:rPr>
          <w:rFonts w:cs="Times New Roman"/>
          <w:b/>
          <w:lang w:val="fr-BE"/>
        </w:rPr>
        <w:t xml:space="preserve"> à 14h00,</w:t>
      </w:r>
      <w:r w:rsidRPr="0091234F">
        <w:rPr>
          <w:rFonts w:cs="Times New Roman"/>
          <w:lang w:val="fr-BE"/>
        </w:rPr>
        <w:t xml:space="preserve"> Palais de Justice, nouvelle aile, </w:t>
      </w:r>
      <w:proofErr w:type="spellStart"/>
      <w:r w:rsidRPr="0091234F">
        <w:rPr>
          <w:rFonts w:cs="Times New Roman"/>
          <w:lang w:val="fr-BE"/>
        </w:rPr>
        <w:t>rez</w:t>
      </w:r>
      <w:proofErr w:type="spellEnd"/>
      <w:r w:rsidRPr="0091234F">
        <w:rPr>
          <w:rFonts w:cs="Times New Roman"/>
          <w:lang w:val="fr-BE"/>
        </w:rPr>
        <w:t xml:space="preserve"> de chaussée, salle n° 003</w:t>
      </w:r>
    </w:p>
    <w:p w14:paraId="4A57DCE3" w14:textId="77777777" w:rsidR="008939EC" w:rsidRPr="0091234F" w:rsidRDefault="008939EC" w:rsidP="008939EC">
      <w:pPr>
        <w:pStyle w:val="Textbody"/>
        <w:rPr>
          <w:rFonts w:cs="Times New Roman"/>
          <w:lang w:val="fr-FR"/>
        </w:rPr>
      </w:pPr>
      <w:r w:rsidRPr="0091234F">
        <w:rPr>
          <w:rFonts w:cs="Times New Roman"/>
          <w:b/>
          <w:bCs/>
          <w:lang w:val="fr-BE"/>
        </w:rPr>
        <w:t>DIT</w:t>
      </w:r>
      <w:r w:rsidRPr="0091234F">
        <w:rPr>
          <w:rFonts w:cs="Times New Roman"/>
          <w:lang w:val="fr-BE"/>
        </w:rPr>
        <w:t xml:space="preserve"> que les parties et, le cas échéant leurs conseils, seront avertis, par le greffe, conformément au prescrit de l'article 775 al. 2 du Code judiciaire ;</w:t>
      </w:r>
    </w:p>
    <w:p w14:paraId="27C1DC37" w14:textId="77777777" w:rsidR="008939EC" w:rsidRDefault="008939EC" w:rsidP="008939EC">
      <w:pPr>
        <w:pStyle w:val="Textbody"/>
        <w:rPr>
          <w:rFonts w:cs="Times New Roman"/>
          <w:b/>
          <w:bCs/>
          <w:lang w:val="fr-BE"/>
        </w:rPr>
      </w:pPr>
    </w:p>
    <w:p w14:paraId="5329E519" w14:textId="77777777" w:rsidR="008939EC" w:rsidRPr="006370FB" w:rsidRDefault="008939EC" w:rsidP="008939EC">
      <w:pPr>
        <w:pStyle w:val="Textbody"/>
        <w:rPr>
          <w:rFonts w:cs="Times New Roman"/>
          <w:lang w:val="fr-BE"/>
        </w:rPr>
      </w:pPr>
      <w:r w:rsidRPr="0091234F">
        <w:rPr>
          <w:rFonts w:cs="Times New Roman"/>
          <w:b/>
          <w:bCs/>
          <w:lang w:val="fr-BE"/>
        </w:rPr>
        <w:t>RESERVE</w:t>
      </w:r>
      <w:r>
        <w:rPr>
          <w:rFonts w:cs="Times New Roman"/>
          <w:lang w:val="fr-BE"/>
        </w:rPr>
        <w:t xml:space="preserve"> les dépens.</w:t>
      </w:r>
    </w:p>
    <w:p w14:paraId="0946D5FD" w14:textId="77777777" w:rsidR="008939EC" w:rsidRPr="006370FB" w:rsidRDefault="008939EC" w:rsidP="008939EC">
      <w:pPr>
        <w:tabs>
          <w:tab w:val="left" w:pos="-1440"/>
        </w:tabs>
        <w:snapToGrid w:val="0"/>
        <w:jc w:val="both"/>
      </w:pPr>
    </w:p>
    <w:p w14:paraId="7D8BFF95" w14:textId="77777777" w:rsidR="001C7ACD" w:rsidRDefault="001C7ACD" w:rsidP="00FE7062">
      <w:pPr>
        <w:tabs>
          <w:tab w:val="left" w:pos="-1440"/>
        </w:tabs>
        <w:jc w:val="both"/>
        <w:rPr>
          <w:b/>
          <w:bCs/>
          <w:iCs/>
        </w:rPr>
      </w:pPr>
      <w:r w:rsidRPr="0034712E">
        <w:rPr>
          <w:b/>
          <w:bCs/>
          <w:iCs/>
        </w:rPr>
        <w:t>AINSI JUGÉ PAR LE TRIBUNAL DU TRAVAIL DE LIEGE DIVISION VERVIERS (DEUXIEME CHAMBRE) composé de</w:t>
      </w:r>
    </w:p>
    <w:p w14:paraId="7ED8EB90" w14:textId="77777777" w:rsidR="001C7ACD" w:rsidRPr="0034712E" w:rsidRDefault="001C7ACD" w:rsidP="00FE7062">
      <w:pPr>
        <w:tabs>
          <w:tab w:val="left" w:pos="-1440"/>
        </w:tabs>
        <w:jc w:val="both"/>
        <w:rPr>
          <w:b/>
          <w:bCs/>
          <w:iCs/>
        </w:rPr>
      </w:pPr>
    </w:p>
    <w:p w14:paraId="62D1FE01" w14:textId="77777777" w:rsidR="001C7ACD" w:rsidRPr="0034712E" w:rsidRDefault="001C7ACD" w:rsidP="00FE7062">
      <w:pPr>
        <w:tabs>
          <w:tab w:val="left" w:pos="-1440"/>
        </w:tabs>
        <w:jc w:val="both"/>
        <w:rPr>
          <w:b/>
          <w:bCs/>
          <w:iCs/>
        </w:rPr>
      </w:pPr>
      <w:r w:rsidRPr="0034712E">
        <w:rPr>
          <w:b/>
          <w:bCs/>
          <w:iCs/>
        </w:rPr>
        <w:t>BELLEFLAMME Viviane, Juge effectif – Président de la chambre.</w:t>
      </w:r>
    </w:p>
    <w:p w14:paraId="2D0A4E99" w14:textId="77777777" w:rsidR="001C7ACD" w:rsidRPr="0034712E" w:rsidRDefault="001C7ACD" w:rsidP="00FE7062">
      <w:pPr>
        <w:tabs>
          <w:tab w:val="left" w:pos="-1440"/>
        </w:tabs>
        <w:jc w:val="both"/>
        <w:rPr>
          <w:b/>
          <w:bCs/>
          <w:iCs/>
        </w:rPr>
      </w:pPr>
      <w:r>
        <w:rPr>
          <w:b/>
          <w:bCs/>
          <w:iCs/>
        </w:rPr>
        <w:t>HICK Paul-Philippe</w:t>
      </w:r>
      <w:r w:rsidRPr="0034712E">
        <w:rPr>
          <w:b/>
          <w:bCs/>
          <w:iCs/>
        </w:rPr>
        <w:t>, Juge social employeur.</w:t>
      </w:r>
    </w:p>
    <w:p w14:paraId="7F75FC13" w14:textId="77777777" w:rsidR="001C7ACD" w:rsidRPr="0034712E" w:rsidRDefault="001C7ACD" w:rsidP="00FE7062">
      <w:pPr>
        <w:tabs>
          <w:tab w:val="left" w:pos="-1440"/>
        </w:tabs>
        <w:jc w:val="both"/>
        <w:rPr>
          <w:b/>
          <w:bCs/>
          <w:iCs/>
        </w:rPr>
      </w:pPr>
      <w:r w:rsidRPr="0034712E">
        <w:rPr>
          <w:b/>
          <w:bCs/>
          <w:iCs/>
        </w:rPr>
        <w:t>GARROY Jérôme, Juge social travailleur ouvrier.</w:t>
      </w:r>
    </w:p>
    <w:p w14:paraId="6C546374" w14:textId="77777777" w:rsidR="001C7ACD" w:rsidRPr="0034712E" w:rsidRDefault="001C7ACD" w:rsidP="00FE7062">
      <w:pPr>
        <w:tabs>
          <w:tab w:val="left" w:pos="-1440"/>
        </w:tabs>
        <w:jc w:val="both"/>
        <w:rPr>
          <w:b/>
          <w:bCs/>
          <w:iCs/>
        </w:rPr>
      </w:pPr>
      <w:r w:rsidRPr="0034712E">
        <w:rPr>
          <w:b/>
          <w:bCs/>
          <w:iCs/>
        </w:rPr>
        <w:t>qui ont participé au délibéré.</w:t>
      </w:r>
    </w:p>
    <w:p w14:paraId="7C785166" w14:textId="77777777" w:rsidR="001C7ACD" w:rsidRPr="0034712E" w:rsidRDefault="001C7ACD" w:rsidP="00FE7062">
      <w:pPr>
        <w:tabs>
          <w:tab w:val="left" w:pos="-1440"/>
        </w:tabs>
        <w:jc w:val="both"/>
        <w:rPr>
          <w:b/>
          <w:bCs/>
          <w:iCs/>
        </w:rPr>
      </w:pPr>
    </w:p>
    <w:p w14:paraId="2ED7A46D" w14:textId="77777777" w:rsidR="001C7ACD" w:rsidRDefault="001C7ACD" w:rsidP="00FE7062">
      <w:pPr>
        <w:tabs>
          <w:tab w:val="left" w:pos="-1440"/>
        </w:tabs>
        <w:jc w:val="both"/>
        <w:rPr>
          <w:b/>
          <w:bCs/>
          <w:iCs/>
        </w:rPr>
      </w:pPr>
    </w:p>
    <w:p w14:paraId="21CBB281" w14:textId="77777777" w:rsidR="001C7ACD" w:rsidRDefault="001C7ACD" w:rsidP="00FE7062">
      <w:pPr>
        <w:tabs>
          <w:tab w:val="left" w:pos="-1440"/>
        </w:tabs>
        <w:jc w:val="both"/>
        <w:rPr>
          <w:b/>
          <w:bCs/>
          <w:iCs/>
        </w:rPr>
      </w:pPr>
    </w:p>
    <w:p w14:paraId="1E8BCE97" w14:textId="77777777" w:rsidR="001C7ACD" w:rsidRPr="0034712E" w:rsidRDefault="001C7ACD" w:rsidP="00FE7062">
      <w:pPr>
        <w:tabs>
          <w:tab w:val="left" w:pos="-1440"/>
        </w:tabs>
        <w:jc w:val="both"/>
        <w:rPr>
          <w:b/>
          <w:bCs/>
          <w:iCs/>
        </w:rPr>
      </w:pPr>
    </w:p>
    <w:p w14:paraId="74813485" w14:textId="77777777" w:rsidR="001C7ACD" w:rsidRDefault="001C7ACD" w:rsidP="0034712E">
      <w:pPr>
        <w:tabs>
          <w:tab w:val="left" w:pos="-1440"/>
        </w:tabs>
        <w:ind w:right="-776"/>
        <w:jc w:val="center"/>
        <w:rPr>
          <w:b/>
          <w:bCs/>
          <w:iCs/>
        </w:rPr>
      </w:pPr>
      <w:r>
        <w:rPr>
          <w:b/>
          <w:bCs/>
          <w:iCs/>
        </w:rPr>
        <w:t>BELLEFLAMME Viviane</w:t>
      </w:r>
      <w:r>
        <w:rPr>
          <w:b/>
          <w:bCs/>
          <w:iCs/>
        </w:rPr>
        <w:tab/>
        <w:t xml:space="preserve">       HICK Paul-Philippe</w:t>
      </w:r>
      <w:r w:rsidRPr="0034712E">
        <w:rPr>
          <w:b/>
          <w:bCs/>
          <w:iCs/>
        </w:rPr>
        <w:tab/>
      </w:r>
      <w:r>
        <w:rPr>
          <w:b/>
          <w:bCs/>
          <w:iCs/>
        </w:rPr>
        <w:t xml:space="preserve"> </w:t>
      </w:r>
      <w:r w:rsidRPr="0034712E">
        <w:rPr>
          <w:b/>
          <w:bCs/>
          <w:iCs/>
        </w:rPr>
        <w:t>GARROY Jérôme</w:t>
      </w:r>
    </w:p>
    <w:p w14:paraId="1BC8BEF7" w14:textId="77777777" w:rsidR="001C7ACD" w:rsidRPr="0034712E" w:rsidRDefault="001C7ACD" w:rsidP="0034712E">
      <w:pPr>
        <w:tabs>
          <w:tab w:val="left" w:pos="-1440"/>
        </w:tabs>
        <w:ind w:right="-776"/>
        <w:jc w:val="center"/>
        <w:rPr>
          <w:b/>
          <w:bCs/>
          <w:iCs/>
        </w:rPr>
      </w:pPr>
    </w:p>
    <w:p w14:paraId="7F52CBE3" w14:textId="77777777" w:rsidR="001C7ACD" w:rsidRPr="0034712E" w:rsidRDefault="001C7ACD" w:rsidP="00FE7062">
      <w:pPr>
        <w:tabs>
          <w:tab w:val="left" w:pos="-1440"/>
        </w:tabs>
        <w:jc w:val="both"/>
        <w:rPr>
          <w:b/>
          <w:bCs/>
          <w:iCs/>
        </w:rPr>
      </w:pPr>
      <w:r w:rsidRPr="0034712E">
        <w:rPr>
          <w:b/>
          <w:bCs/>
          <w:iCs/>
        </w:rPr>
        <w:t>et prononcé</w:t>
      </w:r>
      <w:r w:rsidRPr="0034712E">
        <w:rPr>
          <w:b/>
          <w:bCs/>
        </w:rPr>
        <w:t xml:space="preserve"> </w:t>
      </w:r>
      <w:r w:rsidRPr="0034712E">
        <w:rPr>
          <w:b/>
          <w:bCs/>
          <w:iCs/>
        </w:rPr>
        <w:t xml:space="preserve">en langue française par BELLEFLAMME Viviane, Juge effectif – Président de la chambre, à l’audience publique de la 2ème chambre du TRIBUNAL DU TRAVAIL DE LIEGE – DIVISION DE VERVIERS, le </w:t>
      </w:r>
      <w:r>
        <w:rPr>
          <w:b/>
          <w:bCs/>
          <w:iCs/>
        </w:rPr>
        <w:t>1er septembre 2022</w:t>
      </w:r>
      <w:r w:rsidRPr="0034712E">
        <w:rPr>
          <w:b/>
          <w:bCs/>
          <w:iCs/>
        </w:rPr>
        <w:t xml:space="preserve">, assisté de MATHY Florian, Greffier. </w:t>
      </w:r>
    </w:p>
    <w:p w14:paraId="2664D294" w14:textId="77777777" w:rsidR="001C7ACD" w:rsidRDefault="001C7ACD" w:rsidP="00FE7062">
      <w:pPr>
        <w:rPr>
          <w:b/>
          <w:bCs/>
          <w:iCs/>
        </w:rPr>
      </w:pPr>
    </w:p>
    <w:p w14:paraId="04EF4F36" w14:textId="77777777" w:rsidR="001C7ACD" w:rsidRDefault="001C7ACD" w:rsidP="00FE7062">
      <w:pPr>
        <w:rPr>
          <w:b/>
          <w:bCs/>
          <w:iCs/>
        </w:rPr>
      </w:pPr>
    </w:p>
    <w:p w14:paraId="6BBE7D1E" w14:textId="77777777" w:rsidR="001C7ACD" w:rsidRPr="0034712E" w:rsidRDefault="001C7ACD" w:rsidP="00FE7062">
      <w:pPr>
        <w:rPr>
          <w:b/>
          <w:bCs/>
          <w:iCs/>
        </w:rPr>
      </w:pPr>
    </w:p>
    <w:p w14:paraId="05D2D213" w14:textId="77777777" w:rsidR="001C7ACD" w:rsidRPr="0034712E" w:rsidRDefault="001C7ACD" w:rsidP="00FE7062">
      <w:pPr>
        <w:rPr>
          <w:b/>
          <w:bCs/>
          <w:iCs/>
        </w:rPr>
      </w:pPr>
    </w:p>
    <w:p w14:paraId="03D1E538" w14:textId="77777777" w:rsidR="001C7ACD" w:rsidRPr="0034712E" w:rsidRDefault="001C7ACD" w:rsidP="00FE7062">
      <w:pPr>
        <w:rPr>
          <w:b/>
          <w:bCs/>
          <w:iCs/>
        </w:rPr>
      </w:pPr>
    </w:p>
    <w:p w14:paraId="26533F4E" w14:textId="77777777" w:rsidR="001C7ACD" w:rsidRPr="0034712E" w:rsidRDefault="001C7ACD" w:rsidP="009A6BC1">
      <w:pPr>
        <w:tabs>
          <w:tab w:val="left" w:pos="-1440"/>
        </w:tabs>
        <w:snapToGrid w:val="0"/>
        <w:jc w:val="both"/>
        <w:rPr>
          <w:b/>
        </w:rPr>
      </w:pPr>
      <w:r w:rsidRPr="0034712E">
        <w:rPr>
          <w:b/>
          <w:bCs/>
          <w:iCs/>
          <w:snapToGrid w:val="0"/>
        </w:rPr>
        <w:t xml:space="preserve">             </w:t>
      </w:r>
      <w:r w:rsidRPr="0034712E">
        <w:rPr>
          <w:b/>
          <w:bCs/>
          <w:iCs/>
        </w:rPr>
        <w:t>BELLEFLAMME Viviane</w:t>
      </w:r>
      <w:r w:rsidRPr="0034712E">
        <w:rPr>
          <w:b/>
          <w:bCs/>
          <w:iCs/>
          <w:snapToGrid w:val="0"/>
        </w:rPr>
        <w:tab/>
      </w:r>
      <w:r w:rsidRPr="0034712E">
        <w:rPr>
          <w:b/>
          <w:bCs/>
          <w:iCs/>
          <w:snapToGrid w:val="0"/>
        </w:rPr>
        <w:tab/>
      </w:r>
      <w:r w:rsidRPr="0034712E">
        <w:rPr>
          <w:b/>
          <w:bCs/>
          <w:iCs/>
          <w:snapToGrid w:val="0"/>
        </w:rPr>
        <w:tab/>
      </w:r>
      <w:r w:rsidRPr="0034712E">
        <w:rPr>
          <w:b/>
          <w:bCs/>
          <w:iCs/>
        </w:rPr>
        <w:t>MATHY Florian</w:t>
      </w:r>
    </w:p>
    <w:p w14:paraId="62B06262" w14:textId="77777777" w:rsidR="001C7ACD" w:rsidRPr="006C2BF8" w:rsidRDefault="001C7ACD" w:rsidP="006C0E37">
      <w:pPr>
        <w:tabs>
          <w:tab w:val="left" w:pos="-1440"/>
        </w:tabs>
        <w:snapToGrid w:val="0"/>
        <w:jc w:val="both"/>
        <w:rPr>
          <w:b/>
        </w:rPr>
      </w:pPr>
    </w:p>
    <w:p w14:paraId="23BB3BA5" w14:textId="77777777" w:rsidR="00F621E2" w:rsidRDefault="00F621E2" w:rsidP="00B17BFB">
      <w:pPr>
        <w:tabs>
          <w:tab w:val="left" w:pos="-1440"/>
        </w:tabs>
        <w:snapToGrid w:val="0"/>
        <w:jc w:val="both"/>
        <w:rPr>
          <w:rFonts w:ascii="Tahoma" w:eastAsia="Times New Roman" w:hAnsi="Tahoma"/>
          <w:b/>
          <w:sz w:val="20"/>
          <w:szCs w:val="20"/>
        </w:rPr>
      </w:pPr>
    </w:p>
    <w:p w14:paraId="60EBEDF3" w14:textId="77777777" w:rsidR="00AD725B" w:rsidRPr="004A197C" w:rsidRDefault="00AD725B" w:rsidP="00B17BFB">
      <w:pPr>
        <w:tabs>
          <w:tab w:val="left" w:pos="-1440"/>
        </w:tabs>
        <w:snapToGrid w:val="0"/>
        <w:jc w:val="both"/>
        <w:rPr>
          <w:rFonts w:ascii="Tahoma" w:eastAsia="Times New Roman" w:hAnsi="Tahoma"/>
          <w:b/>
          <w:sz w:val="20"/>
          <w:szCs w:val="20"/>
        </w:rPr>
      </w:pPr>
    </w:p>
    <w:sectPr w:rsidR="00AD725B" w:rsidRPr="004A197C" w:rsidSect="00C74467">
      <w:headerReference w:type="default" r:id="rId9"/>
      <w:pgSz w:w="11905" w:h="16837"/>
      <w:pgMar w:top="1134" w:right="1735" w:bottom="1134" w:left="159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62CF" w14:textId="77777777" w:rsidR="0093203E" w:rsidRDefault="0093203E">
      <w:r>
        <w:separator/>
      </w:r>
    </w:p>
  </w:endnote>
  <w:endnote w:type="continuationSeparator" w:id="0">
    <w:p w14:paraId="338C8139" w14:textId="77777777" w:rsidR="0093203E" w:rsidRDefault="0093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umberland AMT">
    <w:charset w:val="00"/>
    <w:family w:val="modern"/>
    <w:pitch w:val="fixed"/>
  </w:font>
  <w:font w:name="StarSymbol">
    <w:charset w:val="00"/>
    <w:family w:val="auto"/>
    <w:pitch w:val="default"/>
  </w:font>
  <w:font w:name="MS Sans Serif">
    <w:altName w:val="Arial"/>
    <w:panose1 w:val="020B0500000000000000"/>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7123" w14:textId="77777777" w:rsidR="0093203E" w:rsidRDefault="0093203E">
      <w:r>
        <w:rPr>
          <w:color w:val="000000"/>
        </w:rPr>
        <w:separator/>
      </w:r>
    </w:p>
  </w:footnote>
  <w:footnote w:type="continuationSeparator" w:id="0">
    <w:p w14:paraId="76C8C02B" w14:textId="77777777" w:rsidR="0093203E" w:rsidRDefault="0093203E">
      <w:r>
        <w:continuationSeparator/>
      </w:r>
    </w:p>
  </w:footnote>
  <w:footnote w:id="1">
    <w:p w14:paraId="32A1546F" w14:textId="77777777" w:rsidR="00B1093A" w:rsidRPr="00662527" w:rsidRDefault="00B1093A" w:rsidP="00DA4D7C">
      <w:pPr>
        <w:pStyle w:val="Notedebasdepage"/>
        <w:rPr>
          <w:rFonts w:cs="Times New Roman"/>
        </w:rPr>
      </w:pPr>
      <w:r w:rsidRPr="00662527">
        <w:rPr>
          <w:rStyle w:val="Appelnotedebasdep"/>
          <w:rFonts w:cs="Times New Roman"/>
        </w:rPr>
        <w:footnoteRef/>
      </w:r>
      <w:r w:rsidRPr="00662527">
        <w:rPr>
          <w:rFonts w:cs="Times New Roman"/>
        </w:rPr>
        <w:t xml:space="preserve">   C. trav.., 23 novembre 1987</w:t>
      </w:r>
      <w:r w:rsidRPr="00662527">
        <w:rPr>
          <w:rFonts w:cs="Times New Roman"/>
          <w:i/>
        </w:rPr>
        <w:t>, R</w:t>
      </w:r>
      <w:r w:rsidRPr="00662527">
        <w:rPr>
          <w:rFonts w:cs="Times New Roman"/>
        </w:rPr>
        <w:t xml:space="preserve">.G. 13.625/86 et 13.555/86 URBAINE c/U.N.M.S, dont le sommaire est consultable sur </w:t>
      </w:r>
      <w:hyperlink r:id="rId1" w:history="1">
        <w:r w:rsidRPr="00DD75A8">
          <w:rPr>
            <w:rStyle w:val="Lienhypertexte"/>
            <w:rFonts w:cs="Times New Roman"/>
          </w:rPr>
          <w:t>www.juportal.be</w:t>
        </w:r>
      </w:hyperlink>
      <w:r w:rsidR="004A6545">
        <w:rPr>
          <w:rFonts w:cs="Times New Roman"/>
        </w:rPr>
        <w:t>.</w:t>
      </w:r>
    </w:p>
  </w:footnote>
  <w:footnote w:id="2">
    <w:p w14:paraId="72310794" w14:textId="77777777" w:rsidR="00B1093A" w:rsidRPr="00662527" w:rsidRDefault="00B1093A" w:rsidP="00DA4D7C">
      <w:pPr>
        <w:pStyle w:val="Notedebasdepage"/>
        <w:rPr>
          <w:rFonts w:cs="Times New Roman"/>
        </w:rPr>
      </w:pPr>
      <w:r w:rsidRPr="00662527">
        <w:rPr>
          <w:rStyle w:val="Appelnotedebasdep"/>
          <w:rFonts w:cs="Times New Roman"/>
        </w:rPr>
        <w:footnoteRef/>
      </w:r>
      <w:r w:rsidRPr="00662527">
        <w:rPr>
          <w:rFonts w:cs="Times New Roman"/>
        </w:rPr>
        <w:t xml:space="preserve">   C. trav. Liège, 1</w:t>
      </w:r>
      <w:r w:rsidRPr="00662527">
        <w:rPr>
          <w:rFonts w:cs="Times New Roman"/>
          <w:vertAlign w:val="superscript"/>
        </w:rPr>
        <w:t>ère</w:t>
      </w:r>
      <w:r w:rsidRPr="00662527">
        <w:rPr>
          <w:rFonts w:cs="Times New Roman"/>
        </w:rPr>
        <w:t xml:space="preserve"> ch., 4 février 1992, RG 18.958/91,  cité dans C. trav.  Liège, 8</w:t>
      </w:r>
      <w:r w:rsidRPr="00662527">
        <w:rPr>
          <w:rFonts w:cs="Times New Roman"/>
          <w:vertAlign w:val="superscript"/>
        </w:rPr>
        <w:t>ième</w:t>
      </w:r>
      <w:r w:rsidRPr="00662527">
        <w:rPr>
          <w:rFonts w:cs="Times New Roman"/>
        </w:rPr>
        <w:t xml:space="preserve"> ch., 10 février 2005, RG 31.647/03, consultable sur </w:t>
      </w:r>
      <w:hyperlink r:id="rId2" w:history="1">
        <w:r w:rsidRPr="00DD75A8">
          <w:rPr>
            <w:rStyle w:val="Lienhypertexte"/>
            <w:rFonts w:cs="Times New Roman"/>
          </w:rPr>
          <w:t>www.juportal.be</w:t>
        </w:r>
      </w:hyperlink>
      <w:r w:rsidRPr="00662527">
        <w:rPr>
          <w:rFonts w:cs="Times New Roman"/>
        </w:rPr>
        <w:t>.</w:t>
      </w:r>
    </w:p>
  </w:footnote>
  <w:footnote w:id="3">
    <w:p w14:paraId="5DFCB020" w14:textId="77777777" w:rsidR="00B1093A" w:rsidRPr="00662527" w:rsidRDefault="00B1093A" w:rsidP="00DA4D7C">
      <w:pPr>
        <w:pStyle w:val="Notedebasdepage"/>
        <w:rPr>
          <w:rFonts w:cs="Times New Roman"/>
        </w:rPr>
      </w:pPr>
      <w:r w:rsidRPr="00662527">
        <w:rPr>
          <w:rStyle w:val="Appelnotedebasdep"/>
          <w:rFonts w:cs="Times New Roman"/>
        </w:rPr>
        <w:footnoteRef/>
      </w:r>
      <w:r w:rsidRPr="00662527">
        <w:rPr>
          <w:rFonts w:cs="Times New Roman"/>
        </w:rPr>
        <w:t xml:space="preserve"> C. trav. Bruxelles, 8</w:t>
      </w:r>
      <w:r w:rsidRPr="00662527">
        <w:rPr>
          <w:rFonts w:cs="Times New Roman"/>
          <w:vertAlign w:val="superscript"/>
        </w:rPr>
        <w:t>ième</w:t>
      </w:r>
      <w:r w:rsidRPr="00662527">
        <w:rPr>
          <w:rFonts w:cs="Times New Roman"/>
        </w:rPr>
        <w:t xml:space="preserve"> ch.</w:t>
      </w:r>
      <w:r>
        <w:rPr>
          <w:rFonts w:cs="Times New Roman"/>
        </w:rPr>
        <w:t xml:space="preserve">, </w:t>
      </w:r>
      <w:r w:rsidRPr="00662527">
        <w:rPr>
          <w:rFonts w:cs="Times New Roman"/>
        </w:rPr>
        <w:t xml:space="preserve">15 janvier 2015, RG 2014/AB/524, consultable sur </w:t>
      </w:r>
      <w:hyperlink r:id="rId3" w:history="1">
        <w:r w:rsidRPr="00662527">
          <w:rPr>
            <w:rStyle w:val="Lienhypertexte"/>
            <w:rFonts w:cs="Times New Roman"/>
          </w:rPr>
          <w:t>www.terralaboris.be</w:t>
        </w:r>
      </w:hyperlink>
      <w:r w:rsidRPr="00662527">
        <w:rPr>
          <w:rFonts w:cs="Times New Roman"/>
        </w:rPr>
        <w:t xml:space="preserve">; </w:t>
      </w:r>
    </w:p>
  </w:footnote>
  <w:footnote w:id="4">
    <w:p w14:paraId="41FDA31A" w14:textId="77777777" w:rsidR="00B1093A" w:rsidRPr="00F36FD3" w:rsidRDefault="00B1093A" w:rsidP="00DA4D7C">
      <w:pPr>
        <w:pStyle w:val="Notedebasdepage"/>
        <w:rPr>
          <w:rFonts w:cs="Times New Roman"/>
        </w:rPr>
      </w:pPr>
      <w:r w:rsidRPr="00F36FD3">
        <w:rPr>
          <w:rStyle w:val="Appelnotedebasdep"/>
          <w:rFonts w:cs="Times New Roman"/>
        </w:rPr>
        <w:footnoteRef/>
      </w:r>
      <w:r w:rsidRPr="00F36FD3">
        <w:rPr>
          <w:rFonts w:cs="Times New Roman"/>
        </w:rPr>
        <w:t xml:space="preserve"> C. trav. Bruxelles, 14 mai 2007, RG 48.759, consultable sur </w:t>
      </w:r>
      <w:hyperlink r:id="rId4" w:history="1">
        <w:r w:rsidRPr="00DD75A8">
          <w:rPr>
            <w:rStyle w:val="Lienhypertexte"/>
            <w:rFonts w:cs="Times New Roman"/>
          </w:rPr>
          <w:t>www.juportal.be</w:t>
        </w:r>
      </w:hyperlink>
      <w:r w:rsidRPr="00F36FD3">
        <w:rPr>
          <w:rFonts w:cs="Times New Roman"/>
        </w:rPr>
        <w:t>.</w:t>
      </w:r>
    </w:p>
  </w:footnote>
  <w:footnote w:id="5">
    <w:p w14:paraId="3A66F05E" w14:textId="77777777" w:rsidR="00B1093A" w:rsidRDefault="00B1093A">
      <w:pPr>
        <w:pStyle w:val="Notedebasdepage"/>
      </w:pPr>
      <w:r>
        <w:rPr>
          <w:rStyle w:val="Appelnotedebasdep"/>
        </w:rPr>
        <w:footnoteRef/>
      </w:r>
      <w:r>
        <w:t xml:space="preserve"> </w:t>
      </w:r>
      <w:r w:rsidRPr="00361A84">
        <w:rPr>
          <w:rFonts w:cs="Times New Roman"/>
        </w:rPr>
        <w:t xml:space="preserve">Cass., 10 déc. 2018, R.G. S.18.0001.F, consultable sur </w:t>
      </w:r>
      <w:hyperlink r:id="rId5" w:history="1">
        <w:r w:rsidR="00573CE7" w:rsidRPr="009F20D8">
          <w:rPr>
            <w:rStyle w:val="Lienhypertexte"/>
            <w:rFonts w:cs="Times New Roman"/>
          </w:rPr>
          <w:t>www.juportal.be</w:t>
        </w:r>
      </w:hyperlink>
      <w:r w:rsidR="00573CE7">
        <w:rPr>
          <w:rFonts w:cs="Times New Roman"/>
        </w:rPr>
        <w:t xml:space="preserve"> </w:t>
      </w:r>
      <w:r w:rsidRPr="00361A84">
        <w:rPr>
          <w:rFonts w:cs="Times New Roman"/>
        </w:rPr>
        <w:t xml:space="preserve">; Cass., 04 avril 2016, R.G. S.140039.F,  consultable sur </w:t>
      </w:r>
      <w:hyperlink r:id="rId6" w:history="1">
        <w:r w:rsidR="00F11924" w:rsidRPr="009F20D8">
          <w:rPr>
            <w:rStyle w:val="Lienhypertexte"/>
            <w:rFonts w:cs="Times New Roman"/>
          </w:rPr>
          <w:t>www.juportal.be</w:t>
        </w:r>
      </w:hyperlink>
      <w:r w:rsidR="00F11924">
        <w:rPr>
          <w:rFonts w:cs="Times New Roman"/>
        </w:rPr>
        <w:t xml:space="preserve">. </w:t>
      </w:r>
    </w:p>
  </w:footnote>
  <w:footnote w:id="6">
    <w:p w14:paraId="1A200A69" w14:textId="77777777" w:rsidR="00B1093A" w:rsidRPr="00CE4148" w:rsidRDefault="00B1093A" w:rsidP="00361A84">
      <w:pPr>
        <w:pStyle w:val="Sansinterligne"/>
        <w:rPr>
          <w:rFonts w:ascii="Times New Roman" w:hAnsi="Times New Roman" w:cs="Times New Roman"/>
          <w:color w:val="000000" w:themeColor="text1"/>
          <w:sz w:val="20"/>
          <w:szCs w:val="20"/>
        </w:rPr>
      </w:pPr>
      <w:r w:rsidRPr="00CE4148">
        <w:rPr>
          <w:rStyle w:val="Appelnotedebasdep"/>
          <w:rFonts w:ascii="Times New Roman" w:hAnsi="Times New Roman" w:cs="Times New Roman"/>
          <w:sz w:val="20"/>
          <w:szCs w:val="20"/>
        </w:rPr>
        <w:footnoteRef/>
      </w:r>
      <w:r w:rsidRPr="00CE4148">
        <w:rPr>
          <w:rFonts w:ascii="Times New Roman" w:hAnsi="Times New Roman" w:cs="Times New Roman"/>
          <w:sz w:val="20"/>
          <w:szCs w:val="20"/>
        </w:rPr>
        <w:t xml:space="preserve"> Cass., 4 avril 2016, N° S.14.0039.F, et commentaire de B. GRAULICH et S. REMOUCHAMPS « Condition d’exposition </w:t>
      </w:r>
      <w:r w:rsidRPr="00CE4148">
        <w:rPr>
          <w:rFonts w:ascii="Times New Roman" w:hAnsi="Times New Roman" w:cs="Times New Roman"/>
          <w:color w:val="000000" w:themeColor="text1"/>
          <w:sz w:val="20"/>
          <w:szCs w:val="20"/>
        </w:rPr>
        <w:t>au risque dans le secteur public : la référence (traditionnelle) à l’article 32 des lois coordonnées n’a pas lieu d’être »,</w:t>
      </w:r>
      <w:r>
        <w:rPr>
          <w:rFonts w:ascii="Times New Roman" w:hAnsi="Times New Roman" w:cs="Times New Roman"/>
          <w:color w:val="000000" w:themeColor="text1"/>
          <w:sz w:val="20"/>
          <w:szCs w:val="20"/>
        </w:rPr>
        <w:t xml:space="preserve"> consultable sur </w:t>
      </w:r>
      <w:hyperlink r:id="rId7" w:history="1">
        <w:r w:rsidRPr="00DD75A8">
          <w:rPr>
            <w:rStyle w:val="Lienhypertexte"/>
            <w:rFonts w:ascii="Times New Roman" w:hAnsi="Times New Roman" w:cs="Times New Roman"/>
            <w:sz w:val="20"/>
            <w:szCs w:val="20"/>
          </w:rPr>
          <w:t>www.terralaboris.be</w:t>
        </w:r>
      </w:hyperlink>
      <w:r>
        <w:rPr>
          <w:rFonts w:ascii="Times New Roman" w:hAnsi="Times New Roman" w:cs="Times New Roman"/>
          <w:color w:val="000000" w:themeColor="text1"/>
          <w:sz w:val="20"/>
          <w:szCs w:val="20"/>
        </w:rPr>
        <w:t xml:space="preserve">. </w:t>
      </w:r>
    </w:p>
  </w:footnote>
  <w:footnote w:id="7">
    <w:p w14:paraId="5A3C23D4" w14:textId="77777777" w:rsidR="00B1093A" w:rsidRPr="00CE4148" w:rsidRDefault="00B1093A" w:rsidP="00361A84">
      <w:pPr>
        <w:pStyle w:val="Sansinterligne"/>
        <w:rPr>
          <w:rFonts w:ascii="Times New Roman" w:hAnsi="Times New Roman" w:cs="Times New Roman"/>
          <w:sz w:val="20"/>
          <w:szCs w:val="20"/>
        </w:rPr>
      </w:pPr>
      <w:r w:rsidRPr="00CE4148">
        <w:rPr>
          <w:rStyle w:val="Appelnotedebasdep"/>
          <w:rFonts w:ascii="Times New Roman" w:hAnsi="Times New Roman" w:cs="Times New Roman"/>
          <w:color w:val="000000" w:themeColor="text1"/>
          <w:sz w:val="20"/>
          <w:szCs w:val="20"/>
        </w:rPr>
        <w:footnoteRef/>
      </w:r>
      <w:r w:rsidRPr="00CE4148">
        <w:rPr>
          <w:rFonts w:ascii="Times New Roman" w:hAnsi="Times New Roman" w:cs="Times New Roman"/>
          <w:color w:val="000000" w:themeColor="text1"/>
          <w:sz w:val="20"/>
          <w:szCs w:val="20"/>
        </w:rPr>
        <w:t xml:space="preserve"> Cass, 10 décembre 2018, S.18.0001.F/1</w:t>
      </w:r>
      <w:r>
        <w:rPr>
          <w:rFonts w:ascii="Times New Roman" w:hAnsi="Times New Roman" w:cs="Times New Roman"/>
          <w:color w:val="000000" w:themeColor="text1"/>
          <w:sz w:val="20"/>
          <w:szCs w:val="20"/>
        </w:rPr>
        <w:t xml:space="preserve">, consultable sur </w:t>
      </w:r>
      <w:hyperlink r:id="rId8" w:history="1">
        <w:r w:rsidRPr="00DD75A8">
          <w:rPr>
            <w:rStyle w:val="Lienhypertexte"/>
            <w:rFonts w:ascii="Times New Roman" w:hAnsi="Times New Roman" w:cs="Times New Roman"/>
            <w:sz w:val="20"/>
            <w:szCs w:val="20"/>
          </w:rPr>
          <w:t>www.terralaboris.be</w:t>
        </w:r>
      </w:hyperlink>
      <w:r>
        <w:rPr>
          <w:rFonts w:ascii="Times New Roman" w:hAnsi="Times New Roman" w:cs="Times New Roman"/>
          <w:color w:val="000000" w:themeColor="text1"/>
          <w:sz w:val="20"/>
          <w:szCs w:val="20"/>
        </w:rPr>
        <w:t xml:space="preserve">. </w:t>
      </w:r>
    </w:p>
  </w:footnote>
  <w:footnote w:id="8">
    <w:p w14:paraId="50375302" w14:textId="77777777" w:rsidR="00B1093A" w:rsidRPr="00CE4148" w:rsidRDefault="00B1093A" w:rsidP="00361A84">
      <w:pPr>
        <w:pStyle w:val="Notedebasdepage"/>
        <w:rPr>
          <w:rFonts w:cs="Times New Roman"/>
        </w:rPr>
      </w:pPr>
      <w:r w:rsidRPr="00CE4148">
        <w:rPr>
          <w:rStyle w:val="Appelnotedebasdep"/>
          <w:rFonts w:cs="Times New Roman"/>
        </w:rPr>
        <w:footnoteRef/>
      </w:r>
      <w:r w:rsidRPr="00CE4148">
        <w:rPr>
          <w:rFonts w:cs="Times New Roman"/>
        </w:rPr>
        <w:t xml:space="preserve"> P. DELOOZ et D. KREIT,  « Les maladies professionnelles », Larcier, 3</w:t>
      </w:r>
      <w:r w:rsidRPr="00CE4148">
        <w:rPr>
          <w:rFonts w:cs="Times New Roman"/>
          <w:vertAlign w:val="superscript"/>
        </w:rPr>
        <w:t>ème</w:t>
      </w:r>
      <w:r w:rsidRPr="00CE4148">
        <w:rPr>
          <w:rFonts w:cs="Times New Roman"/>
        </w:rPr>
        <w:t xml:space="preserve"> édition,</w:t>
      </w:r>
      <w:r>
        <w:rPr>
          <w:rFonts w:cs="Times New Roman"/>
        </w:rPr>
        <w:t xml:space="preserve"> </w:t>
      </w:r>
      <w:r w:rsidRPr="00CE4148">
        <w:rPr>
          <w:rFonts w:cs="Times New Roman"/>
        </w:rPr>
        <w:t>2015, page 310</w:t>
      </w:r>
      <w:r>
        <w:rPr>
          <w:rFonts w:cs="Times New Roman"/>
        </w:rPr>
        <w:t>.</w:t>
      </w:r>
    </w:p>
  </w:footnote>
  <w:footnote w:id="9">
    <w:p w14:paraId="75784924" w14:textId="77777777" w:rsidR="00B1093A" w:rsidRPr="00CE4148" w:rsidRDefault="00B1093A" w:rsidP="00F36FD3">
      <w:pPr>
        <w:pStyle w:val="Notedebasdepage"/>
        <w:rPr>
          <w:rFonts w:cs="Times New Roman"/>
        </w:rPr>
      </w:pPr>
      <w:r w:rsidRPr="00CE4148">
        <w:rPr>
          <w:rStyle w:val="Appelnotedebasdep"/>
          <w:rFonts w:cs="Times New Roman"/>
        </w:rPr>
        <w:footnoteRef/>
      </w:r>
      <w:r w:rsidRPr="00CE4148">
        <w:rPr>
          <w:rFonts w:cs="Times New Roman"/>
          <w:lang w:val="fr-FR"/>
        </w:rPr>
        <w:t xml:space="preserve"> </w:t>
      </w:r>
      <w:r w:rsidR="00F11924">
        <w:rPr>
          <w:rFonts w:cs="Times New Roman"/>
          <w:color w:val="000000"/>
        </w:rPr>
        <w:t>Cass., 2 février</w:t>
      </w:r>
      <w:r w:rsidRPr="00CE4148">
        <w:rPr>
          <w:rFonts w:cs="Times New Roman"/>
          <w:color w:val="000000"/>
        </w:rPr>
        <w:t xml:space="preserve"> 1998, </w:t>
      </w:r>
      <w:r w:rsidRPr="00CE4148">
        <w:rPr>
          <w:rFonts w:cs="Times New Roman"/>
          <w:i/>
          <w:color w:val="000000"/>
        </w:rPr>
        <w:t>Pas</w:t>
      </w:r>
      <w:r w:rsidRPr="00CE4148">
        <w:rPr>
          <w:rFonts w:cs="Times New Roman"/>
          <w:color w:val="000000"/>
        </w:rPr>
        <w:t xml:space="preserve">., I, p. 58 ; </w:t>
      </w:r>
    </w:p>
  </w:footnote>
  <w:footnote w:id="10">
    <w:p w14:paraId="229AECFB" w14:textId="77777777" w:rsidR="00B1093A" w:rsidRPr="00421220" w:rsidRDefault="00B1093A" w:rsidP="00F36FD3">
      <w:pPr>
        <w:pStyle w:val="Notedebasdepage"/>
        <w:rPr>
          <w:rFonts w:cs="Times New Roman"/>
        </w:rPr>
      </w:pPr>
      <w:r w:rsidRPr="00CE4148">
        <w:rPr>
          <w:rStyle w:val="Appelnotedebasdep"/>
          <w:rFonts w:cs="Times New Roman"/>
        </w:rPr>
        <w:footnoteRef/>
      </w:r>
      <w:r w:rsidRPr="00CE4148">
        <w:rPr>
          <w:rFonts w:cs="Times New Roman"/>
          <w:lang w:val="fr-FR"/>
        </w:rPr>
        <w:t xml:space="preserve"> </w:t>
      </w:r>
      <w:r w:rsidRPr="00CE4148">
        <w:rPr>
          <w:rFonts w:cs="Times New Roman"/>
          <w:color w:val="000000"/>
        </w:rPr>
        <w:t xml:space="preserve">C. trav. Liège, 28 juin 2000, </w:t>
      </w:r>
      <w:r w:rsidR="00F11924">
        <w:rPr>
          <w:rFonts w:cs="Times New Roman"/>
          <w:color w:val="000000"/>
        </w:rPr>
        <w:t xml:space="preserve">consultable sur </w:t>
      </w:r>
      <w:hyperlink r:id="rId9" w:history="1">
        <w:r w:rsidR="002D0D51" w:rsidRPr="009F20D8">
          <w:rPr>
            <w:rStyle w:val="Lienhypertexte"/>
            <w:rFonts w:cs="Times New Roman"/>
          </w:rPr>
          <w:t>www.juportal.be</w:t>
        </w:r>
      </w:hyperlink>
      <w:r w:rsidRPr="00CE4148">
        <w:rPr>
          <w:rFonts w:cs="Times New Roman"/>
          <w:color w:val="000000"/>
        </w:rPr>
        <w:t>.</w:t>
      </w:r>
      <w:r w:rsidR="00F11924">
        <w:rPr>
          <w:rFonts w:cs="Times New Roman"/>
          <w:color w:val="000000"/>
        </w:rPr>
        <w:t xml:space="preserve"> </w:t>
      </w:r>
    </w:p>
  </w:footnote>
  <w:footnote w:id="11">
    <w:p w14:paraId="2C821940" w14:textId="77777777" w:rsidR="00B1093A" w:rsidRPr="00421220" w:rsidRDefault="00B1093A" w:rsidP="00F36FD3">
      <w:pPr>
        <w:autoSpaceDE w:val="0"/>
        <w:adjustRightInd w:val="0"/>
        <w:rPr>
          <w:rFonts w:cs="Times New Roman"/>
          <w:sz w:val="20"/>
          <w:szCs w:val="20"/>
        </w:rPr>
      </w:pPr>
      <w:r w:rsidRPr="00421220">
        <w:rPr>
          <w:rStyle w:val="Appelnotedebasdep"/>
          <w:rFonts w:cs="Times New Roman"/>
          <w:sz w:val="20"/>
          <w:szCs w:val="20"/>
        </w:rPr>
        <w:footnoteRef/>
      </w:r>
      <w:r w:rsidRPr="00421220">
        <w:rPr>
          <w:rFonts w:cs="Times New Roman"/>
          <w:sz w:val="20"/>
          <w:szCs w:val="20"/>
        </w:rPr>
        <w:t xml:space="preserve"> </w:t>
      </w:r>
      <w:r w:rsidRPr="00421220">
        <w:rPr>
          <w:rFonts w:cs="Times New Roman"/>
          <w:color w:val="000000"/>
          <w:sz w:val="20"/>
          <w:szCs w:val="20"/>
        </w:rPr>
        <w:t xml:space="preserve">S. REMOUCHAMPS, « La preuve en accident du travail et en maladie professionnelle », </w:t>
      </w:r>
      <w:r w:rsidRPr="00421220">
        <w:rPr>
          <w:rFonts w:cs="Times New Roman"/>
          <w:i/>
          <w:color w:val="000000"/>
          <w:sz w:val="20"/>
          <w:szCs w:val="20"/>
        </w:rPr>
        <w:t>R.D.S</w:t>
      </w:r>
      <w:r w:rsidRPr="00421220">
        <w:rPr>
          <w:rFonts w:cs="Times New Roman"/>
          <w:color w:val="000000"/>
          <w:sz w:val="20"/>
          <w:szCs w:val="20"/>
        </w:rPr>
        <w:t>., 2013, p. 496.</w:t>
      </w:r>
    </w:p>
  </w:footnote>
  <w:footnote w:id="12">
    <w:p w14:paraId="160F6B58" w14:textId="77777777" w:rsidR="00B1093A" w:rsidRPr="00421220" w:rsidRDefault="00B1093A" w:rsidP="00F36FD3">
      <w:pPr>
        <w:autoSpaceDE w:val="0"/>
        <w:adjustRightInd w:val="0"/>
        <w:rPr>
          <w:rFonts w:cs="Times New Roman"/>
          <w:sz w:val="20"/>
          <w:szCs w:val="20"/>
        </w:rPr>
      </w:pPr>
      <w:r w:rsidRPr="00421220">
        <w:rPr>
          <w:rStyle w:val="Appelnotedebasdep"/>
          <w:rFonts w:cs="Times New Roman"/>
          <w:sz w:val="20"/>
          <w:szCs w:val="20"/>
        </w:rPr>
        <w:footnoteRef/>
      </w:r>
      <w:r w:rsidRPr="00421220">
        <w:rPr>
          <w:rFonts w:cs="Times New Roman"/>
          <w:color w:val="000000"/>
          <w:sz w:val="20"/>
          <w:szCs w:val="20"/>
        </w:rPr>
        <w:t xml:space="preserve"> S. REMOUCHAMPS, </w:t>
      </w:r>
      <w:r>
        <w:rPr>
          <w:rFonts w:cs="Times New Roman"/>
          <w:color w:val="000000"/>
          <w:sz w:val="20"/>
          <w:szCs w:val="20"/>
        </w:rPr>
        <w:t>op. cit.</w:t>
      </w:r>
      <w:r w:rsidRPr="00421220">
        <w:rPr>
          <w:rFonts w:cs="Times New Roman"/>
          <w:color w:val="000000"/>
          <w:sz w:val="20"/>
          <w:szCs w:val="20"/>
        </w:rPr>
        <w:t>, p. 489.</w:t>
      </w:r>
    </w:p>
  </w:footnote>
  <w:footnote w:id="13">
    <w:p w14:paraId="6895C032" w14:textId="77777777" w:rsidR="00B1093A" w:rsidRPr="00421220" w:rsidRDefault="00B1093A" w:rsidP="00F36FD3">
      <w:pPr>
        <w:pStyle w:val="Notedebasdepage"/>
        <w:rPr>
          <w:rFonts w:cs="Times New Roman"/>
        </w:rPr>
      </w:pPr>
      <w:r w:rsidRPr="00421220">
        <w:rPr>
          <w:rStyle w:val="Appelnotedebasdep"/>
          <w:rFonts w:cs="Times New Roman"/>
        </w:rPr>
        <w:footnoteRef/>
      </w:r>
      <w:r w:rsidRPr="00421220">
        <w:rPr>
          <w:rFonts w:cs="Times New Roman"/>
        </w:rPr>
        <w:t xml:space="preserve"> </w:t>
      </w:r>
      <w:r w:rsidRPr="00421220">
        <w:rPr>
          <w:rFonts w:cs="Times New Roman"/>
          <w:color w:val="000000"/>
        </w:rPr>
        <w:t xml:space="preserve">C. trav. Liège, 27 janv. 2012, R.G. 2011/AL/273, </w:t>
      </w:r>
      <w:r>
        <w:rPr>
          <w:rFonts w:cs="Times New Roman"/>
          <w:color w:val="000000"/>
        </w:rPr>
        <w:t xml:space="preserve">consultable sur </w:t>
      </w:r>
      <w:hyperlink r:id="rId10" w:history="1">
        <w:r w:rsidRPr="00DD75A8">
          <w:rPr>
            <w:rStyle w:val="Lienhypertexte"/>
            <w:rFonts w:cs="Times New Roman"/>
          </w:rPr>
          <w:t>www.terralaboris.be</w:t>
        </w:r>
      </w:hyperlink>
      <w:r w:rsidRPr="00421220">
        <w:rPr>
          <w:rFonts w:cs="Times New Roman"/>
          <w:color w:val="000000"/>
        </w:rPr>
        <w:t>.</w:t>
      </w:r>
      <w:r>
        <w:rPr>
          <w:rFonts w:cs="Times New Roman"/>
          <w:color w:val="000000"/>
        </w:rPr>
        <w:t xml:space="preserve"> </w:t>
      </w:r>
    </w:p>
  </w:footnote>
  <w:footnote w:id="14">
    <w:p w14:paraId="53FB24F7" w14:textId="77777777" w:rsidR="00B1093A" w:rsidRDefault="00B1093A" w:rsidP="00F36FD3">
      <w:pPr>
        <w:pStyle w:val="Notedebasdepage"/>
      </w:pPr>
      <w:r w:rsidRPr="00421220">
        <w:rPr>
          <w:rStyle w:val="Appelnotedebasdep"/>
          <w:rFonts w:cs="Times New Roman"/>
        </w:rPr>
        <w:footnoteRef/>
      </w:r>
      <w:r w:rsidRPr="00421220">
        <w:rPr>
          <w:rFonts w:cs="Times New Roman"/>
        </w:rPr>
        <w:t xml:space="preserve"> Cass., 22 juin 2020, </w:t>
      </w:r>
      <w:r>
        <w:rPr>
          <w:rFonts w:cs="Times New Roman"/>
        </w:rPr>
        <w:t xml:space="preserve">consultable sur </w:t>
      </w:r>
      <w:hyperlink r:id="rId11" w:history="1">
        <w:r w:rsidRPr="00DD75A8">
          <w:rPr>
            <w:rStyle w:val="Lienhypertexte"/>
            <w:rFonts w:cs="Times New Roman"/>
          </w:rPr>
          <w:t>www.juportal.be</w:t>
        </w:r>
      </w:hyperlink>
      <w:r>
        <w:rPr>
          <w:rFonts w:cs="Times New Roman"/>
        </w:rPr>
        <w:t>; C. trav. Liège, 27 janvier 2022, RG 2021/AL/292, inédit à la connaissance du tribunal.</w:t>
      </w:r>
    </w:p>
  </w:footnote>
  <w:footnote w:id="15">
    <w:p w14:paraId="64C5F9A9" w14:textId="77777777" w:rsidR="00B1093A" w:rsidRPr="00662527" w:rsidRDefault="00B1093A" w:rsidP="00DA4D7C">
      <w:pPr>
        <w:pStyle w:val="Notedebasdepage"/>
      </w:pPr>
      <w:r w:rsidRPr="00A27E9C">
        <w:rPr>
          <w:rStyle w:val="Appelnotedebasdep"/>
        </w:rPr>
        <w:footnoteRef/>
      </w:r>
      <w:r w:rsidRPr="00662527">
        <w:t xml:space="preserve"> C. trav. Liège, 16 mai 2014, RG 2013/AL/342, consultable sur </w:t>
      </w:r>
      <w:hyperlink r:id="rId12" w:history="1">
        <w:r w:rsidRPr="00DD75A8">
          <w:rPr>
            <w:rStyle w:val="Lienhypertexte"/>
          </w:rPr>
          <w:t>www.juportal.be</w:t>
        </w:r>
      </w:hyperlink>
      <w:r w:rsidRPr="00662527">
        <w:t>.</w:t>
      </w:r>
    </w:p>
  </w:footnote>
  <w:footnote w:id="16">
    <w:p w14:paraId="1A07B1BF" w14:textId="77777777" w:rsidR="00B1093A" w:rsidRPr="00E30425" w:rsidRDefault="00B1093A" w:rsidP="00DA4D7C">
      <w:pPr>
        <w:pStyle w:val="Notedebasdepage"/>
      </w:pPr>
      <w:r w:rsidRPr="00E30425">
        <w:rPr>
          <w:rStyle w:val="Appelnotedebasdep"/>
        </w:rPr>
        <w:footnoteRef/>
      </w:r>
      <w:r w:rsidRPr="00662527">
        <w:t xml:space="preserve"> </w:t>
      </w:r>
      <w:r>
        <w:t>C. trav. Liège, 3</w:t>
      </w:r>
      <w:r w:rsidRPr="00AF31C9">
        <w:rPr>
          <w:vertAlign w:val="superscript"/>
        </w:rPr>
        <w:t>ième</w:t>
      </w:r>
      <w:r>
        <w:t xml:space="preserve"> ch, 21 mars 2016, RG 2015/AL/255, consultable sur </w:t>
      </w:r>
      <w:hyperlink r:id="rId13" w:history="1">
        <w:r w:rsidRPr="003259D4">
          <w:rPr>
            <w:rStyle w:val="Lienhypertexte"/>
          </w:rPr>
          <w:t>www.terralaboris.be</w:t>
        </w:r>
      </w:hyperlink>
      <w:r w:rsidR="00F11924">
        <w:t>.</w:t>
      </w:r>
    </w:p>
  </w:footnote>
  <w:footnote w:id="17">
    <w:p w14:paraId="343AAEB3" w14:textId="77777777" w:rsidR="00B1093A" w:rsidRPr="0078387D" w:rsidRDefault="00B1093A" w:rsidP="00DA4D7C">
      <w:pPr>
        <w:pStyle w:val="Notedebasdepage"/>
      </w:pPr>
      <w:r>
        <w:rPr>
          <w:rStyle w:val="Appelnotedebasdep"/>
        </w:rPr>
        <w:footnoteRef/>
      </w:r>
      <w:r>
        <w:t xml:space="preserve"> C. trav. Liège, division Liège, 3ième ch., 30 août 2016, consultable sur </w:t>
      </w:r>
      <w:hyperlink r:id="rId14" w:history="1">
        <w:r w:rsidRPr="003259D4">
          <w:rPr>
            <w:rStyle w:val="Lienhypertexte"/>
          </w:rPr>
          <w:t>www.terralaboris.be</w:t>
        </w:r>
      </w:hyperlink>
      <w:r>
        <w:t>.</w:t>
      </w:r>
    </w:p>
  </w:footnote>
  <w:footnote w:id="18">
    <w:p w14:paraId="4A4CD95A" w14:textId="77777777" w:rsidR="00B1093A" w:rsidRPr="00DF47A7" w:rsidRDefault="00B1093A" w:rsidP="00DA4D7C">
      <w:pPr>
        <w:pStyle w:val="Notedebasdepage"/>
      </w:pPr>
      <w:r>
        <w:rPr>
          <w:rStyle w:val="Appelnotedebasdep"/>
        </w:rPr>
        <w:footnoteRef/>
      </w:r>
      <w:r>
        <w:t xml:space="preserve"> C. trav. Liège, 3</w:t>
      </w:r>
      <w:r w:rsidRPr="00AF31C9">
        <w:rPr>
          <w:vertAlign w:val="superscript"/>
        </w:rPr>
        <w:t>ième</w:t>
      </w:r>
      <w:r>
        <w:t xml:space="preserve"> ch, 6 mai 2016, RG 2015/AL/461, consultable sur </w:t>
      </w:r>
      <w:hyperlink r:id="rId15" w:history="1">
        <w:r w:rsidRPr="003259D4">
          <w:rPr>
            <w:rStyle w:val="Lienhypertexte"/>
          </w:rPr>
          <w:t>www.terralaboris.be</w:t>
        </w:r>
      </w:hyperlink>
      <w:r>
        <w:t>;</w:t>
      </w:r>
    </w:p>
  </w:footnote>
  <w:footnote w:id="19">
    <w:p w14:paraId="013B20C0" w14:textId="77777777" w:rsidR="00B1093A" w:rsidRDefault="00B1093A">
      <w:pPr>
        <w:pStyle w:val="Notedebasdepage"/>
      </w:pPr>
      <w:r>
        <w:rPr>
          <w:rStyle w:val="Appelnotedebasdep"/>
        </w:rPr>
        <w:footnoteRef/>
      </w:r>
      <w:r>
        <w:t xml:space="preserve"> C’est le tribunal qui insiste.</w:t>
      </w:r>
    </w:p>
  </w:footnote>
  <w:footnote w:id="20">
    <w:p w14:paraId="54640B10" w14:textId="77777777" w:rsidR="00B1093A" w:rsidRDefault="00B1093A">
      <w:pPr>
        <w:pStyle w:val="Notedebasdepage"/>
      </w:pPr>
      <w:r>
        <w:rPr>
          <w:rStyle w:val="Appelnotedebasdep"/>
        </w:rPr>
        <w:footnoteRef/>
      </w:r>
      <w:r>
        <w:t xml:space="preserve"> C’est le tribunal qui insiste.</w:t>
      </w:r>
    </w:p>
  </w:footnote>
  <w:footnote w:id="21">
    <w:p w14:paraId="1D095030" w14:textId="77777777" w:rsidR="00360DEF" w:rsidRDefault="00360DEF">
      <w:pPr>
        <w:pStyle w:val="Notedebasdepage"/>
      </w:pPr>
      <w:r>
        <w:rPr>
          <w:rStyle w:val="Appelnotedebasdep"/>
        </w:rPr>
        <w:footnoteRef/>
      </w:r>
      <w:r>
        <w:t xml:space="preserve"> C. trav. Liège, division Liège, 16 juin 2020, RG 2019/AL/229, inédit à la connaissance du tribunal ;</w:t>
      </w:r>
    </w:p>
  </w:footnote>
  <w:footnote w:id="22">
    <w:p w14:paraId="09560B8C" w14:textId="77777777" w:rsidR="00B1093A" w:rsidRPr="001A4A63" w:rsidRDefault="00B1093A" w:rsidP="00E647CF">
      <w:pPr>
        <w:pStyle w:val="Notedebasdepage"/>
      </w:pPr>
      <w:r>
        <w:rPr>
          <w:rStyle w:val="Appelnotedebasdep"/>
        </w:rPr>
        <w:footnoteRef/>
      </w:r>
      <w:r w:rsidRPr="000D52E7">
        <w:t xml:space="preserve"> </w:t>
      </w:r>
      <w:r>
        <w:t>C. trav. Liège, division Liège, 5 mars 2018, RG 2017/AL/121, inédit </w:t>
      </w:r>
      <w:r w:rsidR="00360DEF">
        <w:t>à la connaissance du tribunal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2A41" w14:textId="77777777" w:rsidR="00B1093A" w:rsidRPr="000C480B" w:rsidRDefault="00B1093A" w:rsidP="00891A96">
    <w:pPr>
      <w:pStyle w:val="En-tte"/>
      <w:jc w:val="center"/>
      <w:rPr>
        <w:rFonts w:cs="Times New Roman"/>
        <w:b/>
        <w:sz w:val="16"/>
        <w:szCs w:val="16"/>
        <w:lang w:val="nl-NL"/>
      </w:rPr>
    </w:pPr>
    <w:r w:rsidRPr="000C480B">
      <w:rPr>
        <w:rFonts w:cs="Times New Roman"/>
        <w:b/>
        <w:sz w:val="16"/>
        <w:szCs w:val="16"/>
        <w:lang w:val="nl-NL"/>
      </w:rPr>
      <w:t>Page n°</w:t>
    </w:r>
    <w:sdt>
      <w:sdtPr>
        <w:rPr>
          <w:rFonts w:cs="Times New Roman"/>
          <w:b/>
          <w:sz w:val="16"/>
          <w:szCs w:val="16"/>
        </w:rPr>
        <w:id w:val="1835185401"/>
        <w:docPartObj>
          <w:docPartGallery w:val="Page Numbers (Top of Page)"/>
          <w:docPartUnique/>
        </w:docPartObj>
      </w:sdtPr>
      <w:sdtEndPr/>
      <w:sdtContent>
        <w:r w:rsidRPr="000C480B">
          <w:rPr>
            <w:rFonts w:cs="Times New Roman"/>
            <w:b/>
            <w:sz w:val="16"/>
            <w:szCs w:val="16"/>
          </w:rPr>
          <w:fldChar w:fldCharType="begin"/>
        </w:r>
        <w:r w:rsidRPr="000C480B">
          <w:rPr>
            <w:rFonts w:cs="Times New Roman"/>
            <w:b/>
            <w:sz w:val="16"/>
            <w:szCs w:val="16"/>
            <w:lang w:val="nl-NL"/>
          </w:rPr>
          <w:instrText>PAGE   \* MERGEFORMAT</w:instrText>
        </w:r>
        <w:r w:rsidRPr="000C480B">
          <w:rPr>
            <w:rFonts w:cs="Times New Roman"/>
            <w:b/>
            <w:sz w:val="16"/>
            <w:szCs w:val="16"/>
          </w:rPr>
          <w:fldChar w:fldCharType="separate"/>
        </w:r>
        <w:r w:rsidR="00980631">
          <w:rPr>
            <w:rFonts w:cs="Times New Roman"/>
            <w:b/>
            <w:noProof/>
            <w:sz w:val="16"/>
            <w:szCs w:val="16"/>
            <w:lang w:val="nl-NL"/>
          </w:rPr>
          <w:t>12</w:t>
        </w:r>
        <w:r w:rsidRPr="000C480B">
          <w:rPr>
            <w:rFonts w:cs="Times New Roman"/>
            <w:b/>
            <w:sz w:val="16"/>
            <w:szCs w:val="16"/>
          </w:rPr>
          <w:fldChar w:fldCharType="end"/>
        </w:r>
      </w:sdtContent>
    </w:sdt>
  </w:p>
  <w:p w14:paraId="433FB975" w14:textId="77777777" w:rsidR="00B1093A" w:rsidRPr="00F11990" w:rsidRDefault="00B1093A" w:rsidP="00891A96">
    <w:pPr>
      <w:pStyle w:val="En-tte"/>
      <w:ind w:firstLine="3119"/>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200"/>
    <w:multiLevelType w:val="hybridMultilevel"/>
    <w:tmpl w:val="E61A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15725"/>
    <w:multiLevelType w:val="hybridMultilevel"/>
    <w:tmpl w:val="EB28E926"/>
    <w:lvl w:ilvl="0" w:tplc="511E64EC">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3D5D20"/>
    <w:multiLevelType w:val="hybridMultilevel"/>
    <w:tmpl w:val="D2E29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22892"/>
    <w:multiLevelType w:val="multilevel"/>
    <w:tmpl w:val="7E4CA60E"/>
    <w:lvl w:ilvl="0">
      <w:start w:val="2"/>
      <w:numFmt w:val="upperRoman"/>
      <w:lvlText w:val="%1."/>
      <w:lvlJc w:val="left"/>
      <w:pPr>
        <w:ind w:left="1800" w:hanging="720"/>
      </w:p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4" w15:restartNumberingAfterBreak="0">
    <w:nsid w:val="21520E36"/>
    <w:multiLevelType w:val="hybridMultilevel"/>
    <w:tmpl w:val="BA6AEAE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3E3759E"/>
    <w:multiLevelType w:val="multilevel"/>
    <w:tmpl w:val="FCE0D81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5BD778E"/>
    <w:multiLevelType w:val="hybridMultilevel"/>
    <w:tmpl w:val="BAB2CE3A"/>
    <w:lvl w:ilvl="0" w:tplc="080C000D">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7" w15:restartNumberingAfterBreak="0">
    <w:nsid w:val="26A23CA8"/>
    <w:multiLevelType w:val="hybridMultilevel"/>
    <w:tmpl w:val="A6F46B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D259B8"/>
    <w:multiLevelType w:val="hybridMultilevel"/>
    <w:tmpl w:val="D528FE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841382"/>
    <w:multiLevelType w:val="hybridMultilevel"/>
    <w:tmpl w:val="6F4C3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6659B"/>
    <w:multiLevelType w:val="hybridMultilevel"/>
    <w:tmpl w:val="3AC4BC30"/>
    <w:lvl w:ilvl="0" w:tplc="DEFC0B2E">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3CE65CF"/>
    <w:multiLevelType w:val="hybridMultilevel"/>
    <w:tmpl w:val="AE2E85AA"/>
    <w:lvl w:ilvl="0" w:tplc="080C0017">
      <w:start w:val="1"/>
      <w:numFmt w:val="low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5D36DF"/>
    <w:multiLevelType w:val="multilevel"/>
    <w:tmpl w:val="B3B84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E17B8"/>
    <w:multiLevelType w:val="hybridMultilevel"/>
    <w:tmpl w:val="B50AC0D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A2235A0"/>
    <w:multiLevelType w:val="hybridMultilevel"/>
    <w:tmpl w:val="C88A001C"/>
    <w:lvl w:ilvl="0" w:tplc="02C82CFA">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C483AD7"/>
    <w:multiLevelType w:val="multilevel"/>
    <w:tmpl w:val="5D5E5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CFD5039"/>
    <w:multiLevelType w:val="hybridMultilevel"/>
    <w:tmpl w:val="2FCE82CA"/>
    <w:lvl w:ilvl="0" w:tplc="080C000F">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7132F5A"/>
    <w:multiLevelType w:val="hybridMultilevel"/>
    <w:tmpl w:val="FC20E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20670"/>
    <w:multiLevelType w:val="hybridMultilevel"/>
    <w:tmpl w:val="41442BEC"/>
    <w:lvl w:ilvl="0" w:tplc="EA2C3F6E">
      <w:start w:val="1"/>
      <w:numFmt w:val="bullet"/>
      <w:lvlText w:val=""/>
      <w:lvlJc w:val="righ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9" w15:restartNumberingAfterBreak="0">
    <w:nsid w:val="609E5739"/>
    <w:multiLevelType w:val="hybridMultilevel"/>
    <w:tmpl w:val="093A5B08"/>
    <w:lvl w:ilvl="0" w:tplc="511E64EC">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1827A33"/>
    <w:multiLevelType w:val="multilevel"/>
    <w:tmpl w:val="9EEE77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15:restartNumberingAfterBreak="0">
    <w:nsid w:val="61F071EB"/>
    <w:multiLevelType w:val="multilevel"/>
    <w:tmpl w:val="066EF28C"/>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2" w15:restartNumberingAfterBreak="0">
    <w:nsid w:val="70D9736D"/>
    <w:multiLevelType w:val="hybridMultilevel"/>
    <w:tmpl w:val="C5DC2F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4954CC6"/>
    <w:multiLevelType w:val="hybridMultilevel"/>
    <w:tmpl w:val="D528FE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FAF4189"/>
    <w:multiLevelType w:val="hybridMultilevel"/>
    <w:tmpl w:val="1212796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6"/>
  </w:num>
  <w:num w:numId="5">
    <w:abstractNumId w:val="22"/>
  </w:num>
  <w:num w:numId="6">
    <w:abstractNumId w:val="19"/>
  </w:num>
  <w:num w:numId="7">
    <w:abstractNumId w:val="1"/>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3"/>
  </w:num>
  <w:num w:numId="11">
    <w:abstractNumId w:val="20"/>
  </w:num>
  <w:num w:numId="12">
    <w:abstractNumId w:val="18"/>
  </w:num>
  <w:num w:numId="13">
    <w:abstractNumId w:val="21"/>
  </w:num>
  <w:num w:numId="14">
    <w:abstractNumId w:val="12"/>
  </w:num>
  <w:num w:numId="15">
    <w:abstractNumId w:val="11"/>
  </w:num>
  <w:num w:numId="16">
    <w:abstractNumId w:val="7"/>
  </w:num>
  <w:num w:numId="17">
    <w:abstractNumId w:val="24"/>
  </w:num>
  <w:num w:numId="18">
    <w:abstractNumId w:val="5"/>
  </w:num>
  <w:num w:numId="19">
    <w:abstractNumId w:val="10"/>
  </w:num>
  <w:num w:numId="20">
    <w:abstractNumId w:val="15"/>
  </w:num>
  <w:num w:numId="21">
    <w:abstractNumId w:val="4"/>
  </w:num>
  <w:num w:numId="22">
    <w:abstractNumId w:val="0"/>
  </w:num>
  <w:num w:numId="23">
    <w:abstractNumId w:val="17"/>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inkAnnotation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BB"/>
    <w:rsid w:val="000178CD"/>
    <w:rsid w:val="00033FA2"/>
    <w:rsid w:val="00035CFA"/>
    <w:rsid w:val="00051069"/>
    <w:rsid w:val="00051E3C"/>
    <w:rsid w:val="00064930"/>
    <w:rsid w:val="0007021E"/>
    <w:rsid w:val="0007764E"/>
    <w:rsid w:val="00082B06"/>
    <w:rsid w:val="000854E9"/>
    <w:rsid w:val="000A7702"/>
    <w:rsid w:val="000B5032"/>
    <w:rsid w:val="000C2B66"/>
    <w:rsid w:val="000C480B"/>
    <w:rsid w:val="000D3B73"/>
    <w:rsid w:val="000E0EAB"/>
    <w:rsid w:val="000F12A4"/>
    <w:rsid w:val="001157CC"/>
    <w:rsid w:val="00123129"/>
    <w:rsid w:val="00124493"/>
    <w:rsid w:val="00133585"/>
    <w:rsid w:val="001372F1"/>
    <w:rsid w:val="00137503"/>
    <w:rsid w:val="001464E6"/>
    <w:rsid w:val="00165F1C"/>
    <w:rsid w:val="0018567E"/>
    <w:rsid w:val="00186402"/>
    <w:rsid w:val="0019689C"/>
    <w:rsid w:val="001A46DA"/>
    <w:rsid w:val="001C014A"/>
    <w:rsid w:val="001C3777"/>
    <w:rsid w:val="001C6AE8"/>
    <w:rsid w:val="001C7ACD"/>
    <w:rsid w:val="001D2BE9"/>
    <w:rsid w:val="001D7C25"/>
    <w:rsid w:val="001E598D"/>
    <w:rsid w:val="001F01A3"/>
    <w:rsid w:val="001F0AEB"/>
    <w:rsid w:val="00202175"/>
    <w:rsid w:val="00207286"/>
    <w:rsid w:val="00210865"/>
    <w:rsid w:val="00211A39"/>
    <w:rsid w:val="00212F2F"/>
    <w:rsid w:val="00240F89"/>
    <w:rsid w:val="0024288E"/>
    <w:rsid w:val="002731C5"/>
    <w:rsid w:val="00287602"/>
    <w:rsid w:val="00291930"/>
    <w:rsid w:val="00293698"/>
    <w:rsid w:val="002A31DD"/>
    <w:rsid w:val="002A58D3"/>
    <w:rsid w:val="002B0A9F"/>
    <w:rsid w:val="002B7CF6"/>
    <w:rsid w:val="002C28A3"/>
    <w:rsid w:val="002D0D51"/>
    <w:rsid w:val="00306940"/>
    <w:rsid w:val="003206F1"/>
    <w:rsid w:val="0032541C"/>
    <w:rsid w:val="00331B9F"/>
    <w:rsid w:val="00332940"/>
    <w:rsid w:val="00360DEF"/>
    <w:rsid w:val="00361A84"/>
    <w:rsid w:val="003639CB"/>
    <w:rsid w:val="00371708"/>
    <w:rsid w:val="0039574D"/>
    <w:rsid w:val="003B069A"/>
    <w:rsid w:val="003B743F"/>
    <w:rsid w:val="003C4FDA"/>
    <w:rsid w:val="003D6CA3"/>
    <w:rsid w:val="003E3AD3"/>
    <w:rsid w:val="004048DE"/>
    <w:rsid w:val="004108D4"/>
    <w:rsid w:val="004169D4"/>
    <w:rsid w:val="00421220"/>
    <w:rsid w:val="004235F5"/>
    <w:rsid w:val="00426BE1"/>
    <w:rsid w:val="00436627"/>
    <w:rsid w:val="0044011E"/>
    <w:rsid w:val="00445625"/>
    <w:rsid w:val="00453AC0"/>
    <w:rsid w:val="004A0EF0"/>
    <w:rsid w:val="004A197C"/>
    <w:rsid w:val="004A5327"/>
    <w:rsid w:val="004A6545"/>
    <w:rsid w:val="004B0AB6"/>
    <w:rsid w:val="004C471C"/>
    <w:rsid w:val="004E74D3"/>
    <w:rsid w:val="004F73B9"/>
    <w:rsid w:val="00512050"/>
    <w:rsid w:val="00517835"/>
    <w:rsid w:val="00521B0E"/>
    <w:rsid w:val="005320FD"/>
    <w:rsid w:val="00536F56"/>
    <w:rsid w:val="00543C38"/>
    <w:rsid w:val="00551C75"/>
    <w:rsid w:val="005520FE"/>
    <w:rsid w:val="00573CE7"/>
    <w:rsid w:val="00576DFE"/>
    <w:rsid w:val="0059429F"/>
    <w:rsid w:val="005A2072"/>
    <w:rsid w:val="005C2AD0"/>
    <w:rsid w:val="00602115"/>
    <w:rsid w:val="00602190"/>
    <w:rsid w:val="00604108"/>
    <w:rsid w:val="00606CF4"/>
    <w:rsid w:val="006252E0"/>
    <w:rsid w:val="00637066"/>
    <w:rsid w:val="00647729"/>
    <w:rsid w:val="00647C9F"/>
    <w:rsid w:val="00667EE3"/>
    <w:rsid w:val="0067154C"/>
    <w:rsid w:val="006755A6"/>
    <w:rsid w:val="006C3A5C"/>
    <w:rsid w:val="006D7F1C"/>
    <w:rsid w:val="006E7DEA"/>
    <w:rsid w:val="006F6C32"/>
    <w:rsid w:val="00712B25"/>
    <w:rsid w:val="00727D89"/>
    <w:rsid w:val="007547C0"/>
    <w:rsid w:val="0075625E"/>
    <w:rsid w:val="00756EBB"/>
    <w:rsid w:val="007601EA"/>
    <w:rsid w:val="00792290"/>
    <w:rsid w:val="00796E31"/>
    <w:rsid w:val="007A02D1"/>
    <w:rsid w:val="007B7AE7"/>
    <w:rsid w:val="007D4809"/>
    <w:rsid w:val="00807409"/>
    <w:rsid w:val="00812C2B"/>
    <w:rsid w:val="0081423B"/>
    <w:rsid w:val="008322BA"/>
    <w:rsid w:val="00834670"/>
    <w:rsid w:val="008430B7"/>
    <w:rsid w:val="0084653D"/>
    <w:rsid w:val="00852965"/>
    <w:rsid w:val="008716AB"/>
    <w:rsid w:val="00874CFC"/>
    <w:rsid w:val="0088358C"/>
    <w:rsid w:val="00891769"/>
    <w:rsid w:val="00891A96"/>
    <w:rsid w:val="008939EC"/>
    <w:rsid w:val="008A2739"/>
    <w:rsid w:val="008E1EE9"/>
    <w:rsid w:val="008E2B20"/>
    <w:rsid w:val="008E3FC6"/>
    <w:rsid w:val="00900EE7"/>
    <w:rsid w:val="00902C85"/>
    <w:rsid w:val="00907E2A"/>
    <w:rsid w:val="00914D57"/>
    <w:rsid w:val="009258AE"/>
    <w:rsid w:val="0093203E"/>
    <w:rsid w:val="0097792C"/>
    <w:rsid w:val="00980631"/>
    <w:rsid w:val="009A5A3A"/>
    <w:rsid w:val="009A6BC1"/>
    <w:rsid w:val="009B1B74"/>
    <w:rsid w:val="009B3214"/>
    <w:rsid w:val="009B4C23"/>
    <w:rsid w:val="009C2384"/>
    <w:rsid w:val="009C3806"/>
    <w:rsid w:val="009C48EA"/>
    <w:rsid w:val="009E1560"/>
    <w:rsid w:val="009E1CCF"/>
    <w:rsid w:val="009E671B"/>
    <w:rsid w:val="009F5424"/>
    <w:rsid w:val="00A05EE0"/>
    <w:rsid w:val="00A145F1"/>
    <w:rsid w:val="00A31C78"/>
    <w:rsid w:val="00A3543F"/>
    <w:rsid w:val="00A35AF9"/>
    <w:rsid w:val="00A41848"/>
    <w:rsid w:val="00A46C50"/>
    <w:rsid w:val="00A56F36"/>
    <w:rsid w:val="00A6529F"/>
    <w:rsid w:val="00A65874"/>
    <w:rsid w:val="00A7295C"/>
    <w:rsid w:val="00A81CF7"/>
    <w:rsid w:val="00A81F7B"/>
    <w:rsid w:val="00A92CEF"/>
    <w:rsid w:val="00AB2E96"/>
    <w:rsid w:val="00AB75AF"/>
    <w:rsid w:val="00AD2918"/>
    <w:rsid w:val="00AD6BBB"/>
    <w:rsid w:val="00AD725B"/>
    <w:rsid w:val="00AF2C4C"/>
    <w:rsid w:val="00B028EE"/>
    <w:rsid w:val="00B1093A"/>
    <w:rsid w:val="00B11286"/>
    <w:rsid w:val="00B17BFB"/>
    <w:rsid w:val="00B224E8"/>
    <w:rsid w:val="00B50E0A"/>
    <w:rsid w:val="00B60FBD"/>
    <w:rsid w:val="00BA0BFF"/>
    <w:rsid w:val="00BC2993"/>
    <w:rsid w:val="00BC513D"/>
    <w:rsid w:val="00BD1728"/>
    <w:rsid w:val="00BD60CE"/>
    <w:rsid w:val="00BD7772"/>
    <w:rsid w:val="00BE15F0"/>
    <w:rsid w:val="00BE1FAD"/>
    <w:rsid w:val="00BF2532"/>
    <w:rsid w:val="00BF3730"/>
    <w:rsid w:val="00BF4089"/>
    <w:rsid w:val="00C14E36"/>
    <w:rsid w:val="00C25122"/>
    <w:rsid w:val="00C6757E"/>
    <w:rsid w:val="00C74467"/>
    <w:rsid w:val="00C90D74"/>
    <w:rsid w:val="00CC0A9A"/>
    <w:rsid w:val="00CD1251"/>
    <w:rsid w:val="00CD5C6A"/>
    <w:rsid w:val="00CE4148"/>
    <w:rsid w:val="00CF4EC2"/>
    <w:rsid w:val="00D02E44"/>
    <w:rsid w:val="00D053F8"/>
    <w:rsid w:val="00D0656C"/>
    <w:rsid w:val="00D10618"/>
    <w:rsid w:val="00D22E92"/>
    <w:rsid w:val="00D305E0"/>
    <w:rsid w:val="00D56BE8"/>
    <w:rsid w:val="00D734D7"/>
    <w:rsid w:val="00D75988"/>
    <w:rsid w:val="00D83A5C"/>
    <w:rsid w:val="00D95716"/>
    <w:rsid w:val="00DA4D7C"/>
    <w:rsid w:val="00DB4D30"/>
    <w:rsid w:val="00DD02D8"/>
    <w:rsid w:val="00DD29B2"/>
    <w:rsid w:val="00DE06D6"/>
    <w:rsid w:val="00DE22E2"/>
    <w:rsid w:val="00DE2BB1"/>
    <w:rsid w:val="00E103D0"/>
    <w:rsid w:val="00E272E1"/>
    <w:rsid w:val="00E324DB"/>
    <w:rsid w:val="00E32BAF"/>
    <w:rsid w:val="00E60675"/>
    <w:rsid w:val="00E647CF"/>
    <w:rsid w:val="00E65765"/>
    <w:rsid w:val="00E85900"/>
    <w:rsid w:val="00E879A8"/>
    <w:rsid w:val="00E95EAC"/>
    <w:rsid w:val="00E9776E"/>
    <w:rsid w:val="00EA2CDD"/>
    <w:rsid w:val="00EB2260"/>
    <w:rsid w:val="00EC7D33"/>
    <w:rsid w:val="00ED5F43"/>
    <w:rsid w:val="00F00549"/>
    <w:rsid w:val="00F02D23"/>
    <w:rsid w:val="00F11924"/>
    <w:rsid w:val="00F11990"/>
    <w:rsid w:val="00F24ECB"/>
    <w:rsid w:val="00F34E6C"/>
    <w:rsid w:val="00F36FD3"/>
    <w:rsid w:val="00F621E2"/>
    <w:rsid w:val="00F72B1A"/>
    <w:rsid w:val="00F74102"/>
    <w:rsid w:val="00FA464C"/>
    <w:rsid w:val="00FB7612"/>
    <w:rsid w:val="00FC449C"/>
    <w:rsid w:val="00FD124E"/>
    <w:rsid w:val="00FD1C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6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GB"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Heading"/>
    <w:next w:val="Textbody"/>
    <w:pPr>
      <w:outlineLvl w:val="0"/>
    </w:pPr>
    <w:rPr>
      <w:rFonts w:ascii="Times New Roman" w:eastAsia="Arial Unicode MS" w:hAnsi="Times New Roman"/>
      <w:b/>
      <w:bCs/>
      <w:sz w:val="48"/>
      <w:szCs w:val="48"/>
    </w:rPr>
  </w:style>
  <w:style w:type="paragraph" w:styleId="Titre2">
    <w:name w:val="heading 2"/>
    <w:basedOn w:val="Normal"/>
    <w:next w:val="Normal"/>
    <w:link w:val="Titre2Car"/>
    <w:uiPriority w:val="9"/>
    <w:unhideWhenUsed/>
    <w:qFormat/>
    <w:rsid w:val="00F62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e">
    <w:name w:val="List"/>
    <w:basedOn w:val="Textbody"/>
  </w:style>
  <w:style w:type="paragraph" w:styleId="En-tte">
    <w:name w:val="header"/>
    <w:basedOn w:val="Standard"/>
    <w:link w:val="En-tteCar"/>
    <w:uiPriority w:val="99"/>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brut">
    <w:name w:val="Plain Text"/>
    <w:basedOn w:val="Standard"/>
    <w:link w:val="TextebrutCar"/>
    <w:pPr>
      <w:widowControl/>
    </w:pPr>
    <w:rPr>
      <w:rFonts w:ascii="Courier New" w:eastAsia="Arial" w:hAnsi="Courier New" w:cs="Courier New"/>
      <w:sz w:val="20"/>
      <w:szCs w:val="20"/>
    </w:rPr>
  </w:style>
  <w:style w:type="paragraph" w:customStyle="1" w:styleId="PreformattedText">
    <w:name w:val="Preformatted Text"/>
    <w:basedOn w:val="Standard"/>
    <w:rPr>
      <w:rFonts w:ascii="Cumberland AMT" w:eastAsia="Cumberland AMT" w:hAnsi="Cumberland AMT" w:cs="Cumberland AMT"/>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DB4D30"/>
    <w:rPr>
      <w:rFonts w:ascii="Tahoma" w:hAnsi="Tahoma"/>
      <w:sz w:val="16"/>
      <w:szCs w:val="16"/>
    </w:rPr>
  </w:style>
  <w:style w:type="character" w:customStyle="1" w:styleId="TextedebullesCar">
    <w:name w:val="Texte de bulles Car"/>
    <w:basedOn w:val="Policepardfaut"/>
    <w:link w:val="Textedebulles"/>
    <w:uiPriority w:val="99"/>
    <w:semiHidden/>
    <w:rsid w:val="00DB4D30"/>
    <w:rPr>
      <w:rFonts w:ascii="Tahoma" w:hAnsi="Tahoma"/>
      <w:sz w:val="16"/>
      <w:szCs w:val="16"/>
    </w:rPr>
  </w:style>
  <w:style w:type="paragraph" w:styleId="Pieddepage">
    <w:name w:val="footer"/>
    <w:basedOn w:val="Normal"/>
    <w:link w:val="PieddepageCar"/>
    <w:uiPriority w:val="99"/>
    <w:unhideWhenUsed/>
    <w:rsid w:val="00DB4D30"/>
    <w:pPr>
      <w:tabs>
        <w:tab w:val="center" w:pos="4513"/>
        <w:tab w:val="right" w:pos="9026"/>
      </w:tabs>
    </w:pPr>
  </w:style>
  <w:style w:type="character" w:customStyle="1" w:styleId="PieddepageCar">
    <w:name w:val="Pied de page Car"/>
    <w:basedOn w:val="Policepardfaut"/>
    <w:link w:val="Pieddepage"/>
    <w:uiPriority w:val="99"/>
    <w:rsid w:val="00DB4D30"/>
  </w:style>
  <w:style w:type="paragraph" w:customStyle="1" w:styleId="P17">
    <w:name w:val="P17"/>
    <w:basedOn w:val="Normal"/>
    <w:hidden/>
    <w:rsid w:val="00DB4D30"/>
    <w:pPr>
      <w:suppressAutoHyphens w:val="0"/>
      <w:autoSpaceDN/>
      <w:adjustRightInd w:val="0"/>
      <w:ind w:right="24"/>
      <w:jc w:val="center"/>
      <w:textAlignment w:val="auto"/>
    </w:pPr>
    <w:rPr>
      <w:rFonts w:eastAsia="Times New Roman" w:cs="MS Sans Serif"/>
      <w:kern w:val="0"/>
      <w:sz w:val="20"/>
      <w:szCs w:val="20"/>
      <w:lang w:val="en-US" w:eastAsia="en-US"/>
    </w:rPr>
  </w:style>
  <w:style w:type="character" w:customStyle="1" w:styleId="T8">
    <w:name w:val="T8"/>
    <w:hidden/>
    <w:rsid w:val="00DB4D30"/>
    <w:rPr>
      <w:b/>
      <w:position w:val="0"/>
      <w:sz w:val="24"/>
      <w:vertAlign w:val="superscript"/>
    </w:rPr>
  </w:style>
  <w:style w:type="character" w:customStyle="1" w:styleId="T16">
    <w:name w:val="T16"/>
    <w:hidden/>
    <w:rsid w:val="00DB4D30"/>
    <w:rPr>
      <w:b/>
      <w:sz w:val="24"/>
    </w:rPr>
  </w:style>
  <w:style w:type="character" w:customStyle="1" w:styleId="Titre2Car">
    <w:name w:val="Titre 2 Car"/>
    <w:basedOn w:val="Policepardfaut"/>
    <w:link w:val="Titre2"/>
    <w:uiPriority w:val="9"/>
    <w:rsid w:val="00F621E2"/>
    <w:rPr>
      <w:rFonts w:asciiTheme="majorHAnsi" w:eastAsiaTheme="majorEastAsia" w:hAnsiTheme="majorHAnsi" w:cstheme="majorBidi"/>
      <w:b/>
      <w:bCs/>
      <w:color w:val="4F81BD" w:themeColor="accent1"/>
      <w:sz w:val="26"/>
      <w:szCs w:val="26"/>
    </w:rPr>
  </w:style>
  <w:style w:type="character" w:styleId="Numrodepage">
    <w:name w:val="page number"/>
    <w:basedOn w:val="Policepardfaut"/>
    <w:rsid w:val="00F621E2"/>
  </w:style>
  <w:style w:type="character" w:customStyle="1" w:styleId="En-tteCar">
    <w:name w:val="En-tête Car"/>
    <w:basedOn w:val="Policepardfaut"/>
    <w:link w:val="En-tte"/>
    <w:uiPriority w:val="99"/>
    <w:rsid w:val="000A7702"/>
  </w:style>
  <w:style w:type="character" w:customStyle="1" w:styleId="TextebrutCar">
    <w:name w:val="Texte brut Car"/>
    <w:basedOn w:val="Policepardfaut"/>
    <w:link w:val="Textebrut"/>
    <w:rsid w:val="00F74102"/>
    <w:rPr>
      <w:rFonts w:ascii="Courier New" w:eastAsia="Arial" w:hAnsi="Courier New" w:cs="Courier New"/>
      <w:sz w:val="20"/>
      <w:szCs w:val="20"/>
    </w:rPr>
  </w:style>
  <w:style w:type="paragraph" w:styleId="Sous-titre">
    <w:name w:val="Subtitle"/>
    <w:basedOn w:val="Normal"/>
    <w:link w:val="Sous-titreCar"/>
    <w:qFormat/>
    <w:rsid w:val="00B17BFB"/>
    <w:pPr>
      <w:suppressAutoHyphens w:val="0"/>
      <w:autoSpaceDN/>
      <w:snapToGrid w:val="0"/>
      <w:textAlignment w:val="auto"/>
    </w:pPr>
    <w:rPr>
      <w:rFonts w:ascii="Bookman Old Style" w:eastAsia="Times New Roman" w:hAnsi="Bookman Old Style" w:cs="Times New Roman"/>
      <w:b/>
      <w:kern w:val="0"/>
      <w:sz w:val="22"/>
      <w:szCs w:val="20"/>
      <w:lang w:val="fr-FR" w:eastAsia="fr-FR"/>
    </w:rPr>
  </w:style>
  <w:style w:type="character" w:customStyle="1" w:styleId="Sous-titreCar">
    <w:name w:val="Sous-titre Car"/>
    <w:basedOn w:val="Policepardfaut"/>
    <w:link w:val="Sous-titre"/>
    <w:rsid w:val="00B17BFB"/>
    <w:rPr>
      <w:rFonts w:ascii="Bookman Old Style" w:eastAsia="Times New Roman" w:hAnsi="Bookman Old Style" w:cs="Times New Roman"/>
      <w:b/>
      <w:kern w:val="0"/>
      <w:sz w:val="22"/>
      <w:szCs w:val="20"/>
      <w:lang w:val="fr-FR" w:eastAsia="fr-FR"/>
    </w:rPr>
  </w:style>
  <w:style w:type="paragraph" w:styleId="Notedebasdepage">
    <w:name w:val="footnote text"/>
    <w:aliases w:val="Note de bas de page Car1 Car,Note de bas de page Car Car Car,Note de bas de page Car1 Car Car Car,Note de bas de page Car Car Car Car Car,Note de bas de page Car1 Car Car Car Car Car"/>
    <w:basedOn w:val="Normal"/>
    <w:link w:val="NotedebasdepageCar"/>
    <w:uiPriority w:val="99"/>
    <w:unhideWhenUsed/>
    <w:rsid w:val="006755A6"/>
    <w:rPr>
      <w:sz w:val="20"/>
      <w:szCs w:val="20"/>
    </w:rPr>
  </w:style>
  <w:style w:type="character" w:customStyle="1" w:styleId="NotedebasdepageCar">
    <w:name w:val="Note de bas de page Car"/>
    <w:aliases w:val="Note de bas de page Car1 Car Car,Note de bas de page Car Car Car Car,Note de bas de page Car1 Car Car Car Car,Note de bas de page Car Car Car Car Car Car,Note de bas de page Car1 Car Car Car Car Car Car"/>
    <w:basedOn w:val="Policepardfaut"/>
    <w:link w:val="Notedebasdepage"/>
    <w:uiPriority w:val="99"/>
    <w:rsid w:val="006755A6"/>
    <w:rPr>
      <w:sz w:val="20"/>
      <w:szCs w:val="20"/>
    </w:rPr>
  </w:style>
  <w:style w:type="character" w:styleId="Appelnotedebasdep">
    <w:name w:val="footnote reference"/>
    <w:rsid w:val="006755A6"/>
  </w:style>
  <w:style w:type="paragraph" w:styleId="Corpsdetexte3">
    <w:name w:val="Body Text 3"/>
    <w:basedOn w:val="Normal"/>
    <w:link w:val="Corpsdetexte3Car"/>
    <w:rsid w:val="006755A6"/>
    <w:pPr>
      <w:suppressAutoHyphens w:val="0"/>
      <w:autoSpaceDN/>
      <w:spacing w:after="120"/>
      <w:textAlignment w:val="auto"/>
    </w:pPr>
    <w:rPr>
      <w:rFonts w:ascii="Courier" w:eastAsia="Times New Roman" w:hAnsi="Courier" w:cs="Times New Roman"/>
      <w:snapToGrid w:val="0"/>
      <w:kern w:val="0"/>
      <w:sz w:val="16"/>
      <w:szCs w:val="16"/>
      <w:lang w:eastAsia="fr-FR"/>
    </w:rPr>
  </w:style>
  <w:style w:type="character" w:customStyle="1" w:styleId="Corpsdetexte3Car">
    <w:name w:val="Corps de texte 3 Car"/>
    <w:basedOn w:val="Policepardfaut"/>
    <w:link w:val="Corpsdetexte3"/>
    <w:rsid w:val="006755A6"/>
    <w:rPr>
      <w:rFonts w:ascii="Courier" w:eastAsia="Times New Roman" w:hAnsi="Courier" w:cs="Times New Roman"/>
      <w:snapToGrid w:val="0"/>
      <w:kern w:val="0"/>
      <w:sz w:val="16"/>
      <w:szCs w:val="16"/>
      <w:lang w:val="fr-BE" w:eastAsia="fr-FR"/>
    </w:rPr>
  </w:style>
  <w:style w:type="character" w:styleId="Lienhypertexte">
    <w:name w:val="Hyperlink"/>
    <w:unhideWhenUsed/>
    <w:rsid w:val="006755A6"/>
    <w:rPr>
      <w:color w:val="0000FF"/>
      <w:u w:val="single"/>
    </w:rPr>
  </w:style>
  <w:style w:type="paragraph" w:styleId="Paragraphedeliste">
    <w:name w:val="List Paragraph"/>
    <w:basedOn w:val="Normal"/>
    <w:uiPriority w:val="34"/>
    <w:qFormat/>
    <w:rsid w:val="006755A6"/>
    <w:pPr>
      <w:ind w:left="720"/>
      <w:contextualSpacing/>
    </w:pPr>
  </w:style>
  <w:style w:type="numbering" w:customStyle="1" w:styleId="WW8Num4">
    <w:name w:val="WW8Num4"/>
    <w:basedOn w:val="Aucuneliste"/>
    <w:rsid w:val="008939EC"/>
    <w:pPr>
      <w:numPr>
        <w:numId w:val="18"/>
      </w:numPr>
    </w:pPr>
  </w:style>
  <w:style w:type="paragraph" w:styleId="Corpsdetexte">
    <w:name w:val="Body Text"/>
    <w:basedOn w:val="Normal"/>
    <w:link w:val="CorpsdetexteCar"/>
    <w:uiPriority w:val="99"/>
    <w:semiHidden/>
    <w:unhideWhenUsed/>
    <w:rsid w:val="00792290"/>
    <w:pPr>
      <w:spacing w:after="120"/>
    </w:pPr>
  </w:style>
  <w:style w:type="character" w:customStyle="1" w:styleId="CorpsdetexteCar">
    <w:name w:val="Corps de texte Car"/>
    <w:basedOn w:val="Policepardfaut"/>
    <w:link w:val="Corpsdetexte"/>
    <w:uiPriority w:val="99"/>
    <w:semiHidden/>
    <w:rsid w:val="00792290"/>
    <w:rPr>
      <w:lang w:val="fr-BE"/>
    </w:rPr>
  </w:style>
  <w:style w:type="paragraph" w:styleId="Sansinterligne">
    <w:name w:val="No Spacing"/>
    <w:aliases w:val="BAS DE PAGE"/>
    <w:autoRedefine/>
    <w:uiPriority w:val="1"/>
    <w:qFormat/>
    <w:rsid w:val="00361A84"/>
    <w:pPr>
      <w:widowControl/>
      <w:suppressAutoHyphens w:val="0"/>
      <w:autoSpaceDN/>
      <w:textAlignment w:val="auto"/>
    </w:pPr>
    <w:rPr>
      <w:rFonts w:ascii="Calibri" w:eastAsiaTheme="minorHAnsi" w:hAnsi="Calibri" w:cstheme="minorHAnsi"/>
      <w:kern w:val="0"/>
      <w:sz w:val="18"/>
      <w:szCs w:val="22"/>
      <w:lang w:val="fr-BE" w:eastAsia="en-US"/>
    </w:rPr>
  </w:style>
  <w:style w:type="paragraph" w:customStyle="1" w:styleId="Correctionautomatique">
    <w:name w:val="Correction automatique"/>
    <w:rsid w:val="001C7ACD"/>
    <w:pPr>
      <w:widowControl/>
      <w:suppressAutoHyphens w:val="0"/>
      <w:autoSpaceDN/>
      <w:spacing w:after="160" w:line="259" w:lineRule="auto"/>
      <w:textAlignment w:val="auto"/>
    </w:pPr>
    <w:rPr>
      <w:rFonts w:asciiTheme="minorHAnsi" w:eastAsiaTheme="minorEastAsia" w:hAnsiTheme="minorHAnsi" w:cstheme="minorBidi"/>
      <w:kern w:val="0"/>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85470">
      <w:bodyDiv w:val="1"/>
      <w:marLeft w:val="0"/>
      <w:marRight w:val="0"/>
      <w:marTop w:val="0"/>
      <w:marBottom w:val="0"/>
      <w:divBdr>
        <w:top w:val="none" w:sz="0" w:space="0" w:color="auto"/>
        <w:left w:val="none" w:sz="0" w:space="0" w:color="auto"/>
        <w:bottom w:val="none" w:sz="0" w:space="0" w:color="auto"/>
        <w:right w:val="none" w:sz="0" w:space="0" w:color="auto"/>
      </w:divBdr>
    </w:div>
    <w:div w:id="1209688673">
      <w:bodyDiv w:val="1"/>
      <w:marLeft w:val="0"/>
      <w:marRight w:val="0"/>
      <w:marTop w:val="0"/>
      <w:marBottom w:val="0"/>
      <w:divBdr>
        <w:top w:val="none" w:sz="0" w:space="0" w:color="auto"/>
        <w:left w:val="none" w:sz="0" w:space="0" w:color="auto"/>
        <w:bottom w:val="none" w:sz="0" w:space="0" w:color="auto"/>
        <w:right w:val="none" w:sz="0" w:space="0" w:color="auto"/>
      </w:divBdr>
    </w:div>
    <w:div w:id="1361780486">
      <w:bodyDiv w:val="1"/>
      <w:marLeft w:val="0"/>
      <w:marRight w:val="0"/>
      <w:marTop w:val="0"/>
      <w:marBottom w:val="0"/>
      <w:divBdr>
        <w:top w:val="none" w:sz="0" w:space="0" w:color="auto"/>
        <w:left w:val="none" w:sz="0" w:space="0" w:color="auto"/>
        <w:bottom w:val="none" w:sz="0" w:space="0" w:color="auto"/>
        <w:right w:val="none" w:sz="0" w:space="0" w:color="auto"/>
      </w:divBdr>
    </w:div>
    <w:div w:id="164700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erralaboris.be" TargetMode="External"/><Relationship Id="rId13" Type="http://schemas.openxmlformats.org/officeDocument/2006/relationships/hyperlink" Target="http://www.terralaboris.be" TargetMode="External"/><Relationship Id="rId3" Type="http://schemas.openxmlformats.org/officeDocument/2006/relationships/hyperlink" Target="http://www.terralaboris.be" TargetMode="External"/><Relationship Id="rId7" Type="http://schemas.openxmlformats.org/officeDocument/2006/relationships/hyperlink" Target="http://www.terralaboris.be" TargetMode="External"/><Relationship Id="rId12" Type="http://schemas.openxmlformats.org/officeDocument/2006/relationships/hyperlink" Target="http://www.juportal.be" TargetMode="External"/><Relationship Id="rId2" Type="http://schemas.openxmlformats.org/officeDocument/2006/relationships/hyperlink" Target="http://www.juportal.be" TargetMode="External"/><Relationship Id="rId1" Type="http://schemas.openxmlformats.org/officeDocument/2006/relationships/hyperlink" Target="http://www.juportal.be" TargetMode="External"/><Relationship Id="rId6" Type="http://schemas.openxmlformats.org/officeDocument/2006/relationships/hyperlink" Target="http://www.juportal.be" TargetMode="External"/><Relationship Id="rId11" Type="http://schemas.openxmlformats.org/officeDocument/2006/relationships/hyperlink" Target="http://www.juportal.be" TargetMode="External"/><Relationship Id="rId5" Type="http://schemas.openxmlformats.org/officeDocument/2006/relationships/hyperlink" Target="http://www.juportal.be" TargetMode="External"/><Relationship Id="rId15" Type="http://schemas.openxmlformats.org/officeDocument/2006/relationships/hyperlink" Target="http://www.terralaboris.be" TargetMode="External"/><Relationship Id="rId10" Type="http://schemas.openxmlformats.org/officeDocument/2006/relationships/hyperlink" Target="http://www.terralaboris.be" TargetMode="External"/><Relationship Id="rId4" Type="http://schemas.openxmlformats.org/officeDocument/2006/relationships/hyperlink" Target="http://www.juportal.be" TargetMode="External"/><Relationship Id="rId9" Type="http://schemas.openxmlformats.org/officeDocument/2006/relationships/hyperlink" Target="http://www.juportal.be" TargetMode="External"/><Relationship Id="rId14" Type="http://schemas.openxmlformats.org/officeDocument/2006/relationships/hyperlink" Target="http://www.terralabor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8489-48EE-4EE7-A578-C51CFC84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5517</Words>
  <Characters>30347</Characters>
  <Application>Microsoft Office Word</Application>
  <DocSecurity>4</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2022-09-08T12:12:00Z</dcterms:created>
  <dcterms:modified xsi:type="dcterms:W3CDTF">2022-09-08T12:12:00Z</dcterms:modified>
</cp:coreProperties>
</file>